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49C" w:rsidRDefault="00EF249C" w:rsidP="00826AF4">
      <w:pPr>
        <w:pStyle w:val="01Fraccion"/>
        <w:spacing w:before="360" w:line="320" w:lineRule="exact"/>
        <w:ind w:left="0" w:firstLine="0"/>
        <w:rPr>
          <w:rFonts w:cs="Times New Roman"/>
          <w:bCs/>
          <w:szCs w:val="26"/>
        </w:rPr>
      </w:pPr>
      <w:r>
        <w:rPr>
          <w:rFonts w:cs="Times New Roman"/>
          <w:bCs/>
          <w:szCs w:val="26"/>
        </w:rPr>
        <w:t>Objetivo General</w:t>
      </w:r>
    </w:p>
    <w:p w:rsidR="00733204" w:rsidRPr="00733204" w:rsidRDefault="00733204" w:rsidP="00733204">
      <w:pPr>
        <w:pStyle w:val="04TextoN"/>
      </w:pPr>
      <w:r w:rsidRPr="00733204">
        <w:t>Contribuir a la Seguridad Alimentaria facilitando el acceso físico y económico a productos alimenticios de la población que habita en localidades rurales marginadas.</w:t>
      </w:r>
    </w:p>
    <w:p w:rsidR="00733204" w:rsidRPr="00733204" w:rsidRDefault="00733204" w:rsidP="00733204">
      <w:pPr>
        <w:pStyle w:val="04TextoN"/>
      </w:pPr>
      <w:r w:rsidRPr="00733204">
        <w:t>El Programa de Abasto Rural (PAR), operado por la empresa paraestatal DICONSA, S. A. de C. V., abastece de productos de consumo, básicos y complementarios, a tiendas comunitarias y procura que los productos se vendan a precios menores que los ofrecidos por los comercios privados, transfiriendo así un ahorro a sus beneficiarios.</w:t>
      </w:r>
    </w:p>
    <w:p w:rsidR="00EF249C" w:rsidRDefault="00EF249C" w:rsidP="00EF249C">
      <w:pPr>
        <w:pStyle w:val="01Fraccion"/>
        <w:spacing w:before="360" w:line="320" w:lineRule="exact"/>
        <w:rPr>
          <w:rFonts w:cs="Times New Roman"/>
          <w:bCs/>
          <w:szCs w:val="26"/>
        </w:rPr>
      </w:pPr>
      <w:r>
        <w:rPr>
          <w:rFonts w:cs="Times New Roman"/>
          <w:bCs/>
          <w:szCs w:val="26"/>
        </w:rPr>
        <w:t>I</w:t>
      </w:r>
      <w:r>
        <w:rPr>
          <w:rFonts w:cs="Times New Roman"/>
          <w:bCs/>
          <w:szCs w:val="26"/>
        </w:rPr>
        <w:tab/>
        <w:t>Identificar con precisión a la población objetivo, tanto por grupo específico como por región del país, entidad federativa y municipio</w:t>
      </w:r>
    </w:p>
    <w:p w:rsidR="00733204" w:rsidRPr="00826AF4" w:rsidRDefault="00733204" w:rsidP="00DE760D">
      <w:pPr>
        <w:pStyle w:val="03bSubprogra"/>
      </w:pPr>
      <w:r w:rsidRPr="00826AF4">
        <w:t>Población Objetivo</w:t>
      </w:r>
    </w:p>
    <w:p w:rsidR="00733204" w:rsidRPr="00320119" w:rsidRDefault="00733204" w:rsidP="00885894">
      <w:pPr>
        <w:pStyle w:val="03ST"/>
      </w:pPr>
      <w:r w:rsidRPr="00320119">
        <w:t>El PAR atiende a la población de las localidades de alta y muy alta marginación de entre 200 y 2,500 habitantes que no cuenten con un servicio de abasto local suficiente y adecuado.</w:t>
      </w:r>
    </w:p>
    <w:p w:rsidR="00733204" w:rsidRPr="00320119" w:rsidRDefault="00733204" w:rsidP="00885894">
      <w:pPr>
        <w:pStyle w:val="03ST"/>
      </w:pPr>
      <w:r w:rsidRPr="00320119">
        <w:t>Los beneficios del Programa se otorgan a población abierta, es decir la que se ubica en las localidades con tienda abastecida por DICONSA</w:t>
      </w:r>
    </w:p>
    <w:p w:rsidR="00733204" w:rsidRPr="00826AF4" w:rsidRDefault="00733204" w:rsidP="00DE760D">
      <w:pPr>
        <w:pStyle w:val="03bSubprogra"/>
      </w:pPr>
      <w:r w:rsidRPr="00826AF4">
        <w:t>Cobertura</w:t>
      </w:r>
    </w:p>
    <w:p w:rsidR="00733204" w:rsidRPr="00320119" w:rsidRDefault="00733204" w:rsidP="00885894">
      <w:pPr>
        <w:pStyle w:val="03ST"/>
      </w:pPr>
      <w:r w:rsidRPr="00320119">
        <w:t>El Programa de Abasto Rural tiene una cobertura nacional en localidades que tengan al menos alguna de las siguientes características:</w:t>
      </w:r>
    </w:p>
    <w:p w:rsidR="00733204" w:rsidRPr="00320119" w:rsidRDefault="00733204" w:rsidP="00320119">
      <w:pPr>
        <w:pStyle w:val="05Vieta01"/>
      </w:pPr>
      <w:r w:rsidRPr="00320119">
        <w:t xml:space="preserve">Ser de alta o muy alta marginación, con un rango de población de entre 200 y 2,500 habitantes que no cuenten con un servicio de abasto local suficiente y adecuado. </w:t>
      </w:r>
    </w:p>
    <w:p w:rsidR="00733204" w:rsidRPr="00320119" w:rsidRDefault="00733204" w:rsidP="00320119">
      <w:pPr>
        <w:pStyle w:val="05Vieta01"/>
      </w:pPr>
      <w:r w:rsidRPr="00320119">
        <w:t xml:space="preserve">Contar con tiendas en funcionamiento, que hayan sido instaladas de acuerdo con Reglas de Operación de ejercicios fiscales anteriores a las vigentes. </w:t>
      </w:r>
    </w:p>
    <w:p w:rsidR="00733204" w:rsidRDefault="00733204" w:rsidP="00320119">
      <w:pPr>
        <w:pStyle w:val="05Vieta01"/>
      </w:pPr>
      <w:r w:rsidRPr="00320119">
        <w:t xml:space="preserve">Ser de alta o muy alta marginación con población de menos de 200 habitantes, que no cuenten con un servicio de Abasto Local Suficiente y Adecuado, y que sean aprobadas por el Consejo de Administración para el cumplimiento de los objetivos del Programa. </w:t>
      </w:r>
    </w:p>
    <w:p w:rsidR="0053457B" w:rsidRDefault="0053457B" w:rsidP="0053457B">
      <w:pPr>
        <w:pStyle w:val="05Vieta01"/>
        <w:numPr>
          <w:ilvl w:val="0"/>
          <w:numId w:val="0"/>
        </w:numPr>
        <w:ind w:left="360" w:hanging="360"/>
      </w:pPr>
    </w:p>
    <w:p w:rsidR="0053457B" w:rsidRDefault="0053457B" w:rsidP="0053457B">
      <w:pPr>
        <w:pStyle w:val="05Vieta01"/>
        <w:numPr>
          <w:ilvl w:val="0"/>
          <w:numId w:val="0"/>
        </w:numPr>
        <w:ind w:left="360" w:hanging="360"/>
      </w:pPr>
    </w:p>
    <w:p w:rsidR="0053457B" w:rsidRDefault="0053457B" w:rsidP="0053457B">
      <w:pPr>
        <w:pStyle w:val="05Vieta01"/>
        <w:numPr>
          <w:ilvl w:val="0"/>
          <w:numId w:val="0"/>
        </w:numPr>
        <w:ind w:left="360" w:hanging="360"/>
      </w:pPr>
    </w:p>
    <w:p w:rsidR="0053457B" w:rsidRPr="00320119" w:rsidRDefault="0053457B" w:rsidP="0053457B">
      <w:pPr>
        <w:pStyle w:val="05Vieta01"/>
        <w:numPr>
          <w:ilvl w:val="0"/>
          <w:numId w:val="0"/>
        </w:numPr>
        <w:ind w:left="360" w:hanging="360"/>
      </w:pPr>
    </w:p>
    <w:p w:rsidR="00EF249C" w:rsidRDefault="00EF249C" w:rsidP="00EF249C">
      <w:pPr>
        <w:pStyle w:val="01Fraccion"/>
        <w:spacing w:before="360" w:line="320" w:lineRule="exact"/>
        <w:rPr>
          <w:rFonts w:cs="Times New Roman"/>
          <w:bCs/>
          <w:szCs w:val="26"/>
        </w:rPr>
      </w:pPr>
      <w:r>
        <w:rPr>
          <w:rFonts w:cs="Times New Roman"/>
          <w:bCs/>
          <w:szCs w:val="26"/>
        </w:rPr>
        <w:lastRenderedPageBreak/>
        <w:t>II.</w:t>
      </w:r>
      <w:r>
        <w:rPr>
          <w:rFonts w:cs="Times New Roman"/>
          <w:bCs/>
          <w:szCs w:val="26"/>
        </w:rPr>
        <w:tab/>
        <w:t>En su caso, prever montos máximos por beneficiario y por porcentaje del costo total del programa. En los programas de beneficio directo a individuos o grupos sociales, los montos y porcentajes se establecerán con base en criterios redistributivos que deberán privilegiar a la población de menos ingresos y procurar la equidad entre regiones y entidades federativas, sin demérito de la eficiencia en el logro de los objetivos</w:t>
      </w:r>
    </w:p>
    <w:p w:rsidR="00733204" w:rsidRPr="00733204" w:rsidRDefault="00733204" w:rsidP="007D0B7F">
      <w:pPr>
        <w:pStyle w:val="04TextoN"/>
        <w:spacing w:before="240" w:after="240"/>
      </w:pPr>
      <w:r w:rsidRPr="00733204">
        <w:t>El acceso a los apoyos del Programa de Abasto Rural a cargo de DICONSA, S.A. de C.V., es a través del funcionamiento de Tiendas que son administradas por la comunidad y operadas por un encargado de Tienda que elige la comunidad representada por el Comité Rural de Abasto,  para fines de la operación de las tiendas, lo cual no implica una relación laboral con DICONSA.</w:t>
      </w:r>
    </w:p>
    <w:p w:rsidR="00733204" w:rsidRPr="00733204" w:rsidRDefault="00733204" w:rsidP="007D0B7F">
      <w:pPr>
        <w:pStyle w:val="04TextoN"/>
        <w:spacing w:before="240" w:after="240"/>
      </w:pPr>
      <w:r w:rsidRPr="00733204">
        <w:t>Por sus características, el Programa no cuenta con un Padrón de Beneficiarios, sino que el apoyo se otorga vía precios a población abierta y no como subsidio directo. El monto del apoyo equivale al ahorro que el Programa transfiere al público que compra en las tiendas comunitarias</w:t>
      </w:r>
      <w:r w:rsidR="00031066">
        <w:t xml:space="preserve"> y unidades móviles</w:t>
      </w:r>
      <w:r w:rsidRPr="00733204">
        <w:t xml:space="preserve">, resultante de la diferencia de precios de los productos de la canasta básica respecto a los precios de esos mismos productos en comercios privados. De acuerdo con las Reglas de Operación vigentes, durante 2013, el Programa buscará que dicho ahorro sea de por lo menos </w:t>
      </w:r>
      <w:r w:rsidRPr="00596CFE">
        <w:t>15</w:t>
      </w:r>
      <w:r w:rsidRPr="00733204">
        <w:t xml:space="preserve"> por ciento en los productos de la Canasta Básica DICONSA.</w:t>
      </w:r>
    </w:p>
    <w:p w:rsidR="00733204" w:rsidRPr="00733204" w:rsidRDefault="00733204" w:rsidP="007D0B7F">
      <w:pPr>
        <w:pStyle w:val="04TextoN"/>
        <w:spacing w:before="240" w:after="240"/>
      </w:pPr>
      <w:r w:rsidRPr="00733204">
        <w:t>El Programa abastece de productos alimentarios como granos, harinas, pastas para sopas, café, azúcar, avena, leche en polvo y alimentos enlatados, entre muchos otros; productos para la higiene y salud incluyendo, entre otros, jabones, detergentes, cremas dentales y papel higiénico; y productos complementarios.</w:t>
      </w:r>
    </w:p>
    <w:p w:rsidR="00733204" w:rsidRPr="00733204" w:rsidRDefault="00733204" w:rsidP="007D0B7F">
      <w:pPr>
        <w:pStyle w:val="04TextoN"/>
        <w:spacing w:before="240" w:after="240"/>
      </w:pPr>
      <w:r w:rsidRPr="00733204">
        <w:t xml:space="preserve">La lista completa de los productos ofrecidos por el Programa se puede consultar en los Anexos 2 (Canasta Básica DICONSA) y 3 (Catálogo de Productos del Programa de Abasto Rural) de sus Reglas de Operación y en la dirección de internet </w:t>
      </w:r>
      <w:r w:rsidR="00A56DB8" w:rsidRPr="00596CFE">
        <w:t>http://www.diconsa.gob.mx/images/swfs/par/reglas/ROP_PAR_2013.pdf</w:t>
      </w:r>
    </w:p>
    <w:p w:rsidR="00733204" w:rsidRDefault="00733204" w:rsidP="00733204">
      <w:pPr>
        <w:pStyle w:val="04TextoN"/>
      </w:pPr>
      <w:r w:rsidRPr="00733204">
        <w:t xml:space="preserve">El Programa promueve la equidad entre las regiones y las entidades federativas de la República Mexicana al focalizar sus acciones de manera territorial, conforme a criterios de marginación además de poblacionales. Estos criterios se encuentran contemplados en la cobertura del Programa, la cual se define con base en el nivel de marginación de las localidades y por el número de habitantes en las mismas. </w:t>
      </w:r>
    </w:p>
    <w:p w:rsidR="00031066" w:rsidRDefault="00031066" w:rsidP="00733204">
      <w:pPr>
        <w:pStyle w:val="04TextoN"/>
      </w:pPr>
    </w:p>
    <w:p w:rsidR="00031066" w:rsidRDefault="00031066" w:rsidP="00733204">
      <w:pPr>
        <w:pStyle w:val="04TextoN"/>
      </w:pPr>
    </w:p>
    <w:p w:rsidR="00031066" w:rsidRDefault="00031066" w:rsidP="00733204">
      <w:pPr>
        <w:pStyle w:val="04TextoN"/>
      </w:pPr>
    </w:p>
    <w:p w:rsidR="00031066" w:rsidRDefault="00031066" w:rsidP="00733204">
      <w:pPr>
        <w:pStyle w:val="04TextoN"/>
      </w:pPr>
    </w:p>
    <w:p w:rsidR="00031066" w:rsidRPr="00733204" w:rsidRDefault="00031066" w:rsidP="00733204">
      <w:pPr>
        <w:pStyle w:val="04TextoN"/>
      </w:pPr>
    </w:p>
    <w:p w:rsidR="00EF249C" w:rsidRDefault="00EF249C" w:rsidP="00EF249C">
      <w:pPr>
        <w:pStyle w:val="01Fraccion"/>
        <w:spacing w:before="360" w:line="320" w:lineRule="exact"/>
        <w:rPr>
          <w:rFonts w:cs="Times New Roman"/>
          <w:bCs/>
          <w:szCs w:val="26"/>
        </w:rPr>
      </w:pPr>
      <w:r>
        <w:rPr>
          <w:rFonts w:cs="Times New Roman"/>
          <w:bCs/>
          <w:szCs w:val="26"/>
        </w:rPr>
        <w:lastRenderedPageBreak/>
        <w:t>III.</w:t>
      </w:r>
      <w:r>
        <w:rPr>
          <w:rFonts w:cs="Times New Roman"/>
          <w:bCs/>
          <w:szCs w:val="26"/>
        </w:rPr>
        <w:tab/>
        <w:t>Procurar que el mecanismo de distribución, operación y administración otorgue acceso equitativo a todos los grupos sociales y géneros</w:t>
      </w:r>
    </w:p>
    <w:p w:rsidR="00733204" w:rsidRPr="00733204" w:rsidRDefault="00733204" w:rsidP="007D0B7F">
      <w:pPr>
        <w:pStyle w:val="04TextoN"/>
        <w:spacing w:before="240" w:after="240"/>
      </w:pPr>
      <w:r w:rsidRPr="00733204">
        <w:t>A través de la promoción de la participación social corresponsable, el Programa opera con una estrategia de abasto basada en la</w:t>
      </w:r>
      <w:r w:rsidR="00A74D48">
        <w:t>s necesidades y</w:t>
      </w:r>
      <w:r w:rsidRPr="00733204">
        <w:t xml:space="preserve"> demanda de los habitantes de las localidades que atiende, incorporando productos del sector social cuando éstos s</w:t>
      </w:r>
      <w:r w:rsidR="00A74D48">
        <w:t>ean</w:t>
      </w:r>
      <w:r w:rsidRPr="00733204">
        <w:t xml:space="preserve"> una alternativa competitiva en precio y calidad.</w:t>
      </w:r>
    </w:p>
    <w:p w:rsidR="00733204" w:rsidRPr="00733204" w:rsidRDefault="00733204" w:rsidP="007D0B7F">
      <w:pPr>
        <w:pStyle w:val="04TextoN"/>
        <w:spacing w:before="240" w:after="240"/>
      </w:pPr>
      <w:r w:rsidRPr="00733204">
        <w:t>El Programa gira en torno a una política de compras, ventas y servicios que responden a las necesidades de las comunidades y tiene entre sus prioridades:</w:t>
      </w:r>
    </w:p>
    <w:p w:rsidR="00733204" w:rsidRPr="00733204" w:rsidRDefault="00733204" w:rsidP="00733204">
      <w:pPr>
        <w:pStyle w:val="04TextoN"/>
        <w:numPr>
          <w:ilvl w:val="0"/>
          <w:numId w:val="1"/>
        </w:numPr>
      </w:pPr>
      <w:r w:rsidRPr="00733204">
        <w:t>Abastecer productos de calidad y con alto valor nutritivo a precios que transfieran a los beneficiarios un margen de ahorro.</w:t>
      </w:r>
    </w:p>
    <w:p w:rsidR="00733204" w:rsidRPr="00733204" w:rsidRDefault="00733204" w:rsidP="00733204">
      <w:pPr>
        <w:pStyle w:val="04TextoN"/>
        <w:numPr>
          <w:ilvl w:val="0"/>
          <w:numId w:val="1"/>
        </w:numPr>
      </w:pPr>
      <w:r w:rsidRPr="00733204">
        <w:t xml:space="preserve">Ofrecer en las tiendas </w:t>
      </w:r>
      <w:r w:rsidR="00CB1419">
        <w:t xml:space="preserve">y unidades móviles </w:t>
      </w:r>
      <w:r w:rsidRPr="00733204">
        <w:t>servicios complementarios al abasto.</w:t>
      </w:r>
    </w:p>
    <w:p w:rsidR="00733204" w:rsidRPr="00733204" w:rsidRDefault="00733204" w:rsidP="00733204">
      <w:pPr>
        <w:pStyle w:val="04TextoN"/>
        <w:numPr>
          <w:ilvl w:val="0"/>
          <w:numId w:val="1"/>
        </w:numPr>
      </w:pPr>
      <w:r w:rsidRPr="00733204">
        <w:t xml:space="preserve">Asegurar que los encargados de las tiendas brinden un trato respetuoso y sin discriminación alguna. </w:t>
      </w:r>
    </w:p>
    <w:p w:rsidR="00733204" w:rsidRPr="00733204" w:rsidRDefault="00733204" w:rsidP="00733204">
      <w:pPr>
        <w:pStyle w:val="04TextoN"/>
        <w:numPr>
          <w:ilvl w:val="0"/>
          <w:numId w:val="1"/>
        </w:numPr>
      </w:pPr>
      <w:r w:rsidRPr="00733204">
        <w:t xml:space="preserve">Promover la participación social en el Programa y la equidad de género. </w:t>
      </w:r>
    </w:p>
    <w:p w:rsidR="00733204" w:rsidRPr="00733204" w:rsidRDefault="00733204" w:rsidP="00733204">
      <w:pPr>
        <w:pStyle w:val="04TextoN"/>
        <w:numPr>
          <w:ilvl w:val="0"/>
          <w:numId w:val="1"/>
        </w:numPr>
      </w:pPr>
      <w:r w:rsidRPr="00733204">
        <w:t>Garantizar que los beneficiarios puedan comprar cualquier producto o utilizar cualquier servicio que se ofrezca en las tiendas comunitarias</w:t>
      </w:r>
      <w:r w:rsidR="005F4594">
        <w:t xml:space="preserve"> y unidades móviles</w:t>
      </w:r>
      <w:r w:rsidRPr="00733204">
        <w:t>, sin condicionamiento alguno a la compra de otros productos o servicios.</w:t>
      </w:r>
    </w:p>
    <w:p w:rsidR="00733204" w:rsidRDefault="00733204" w:rsidP="00733204">
      <w:pPr>
        <w:pStyle w:val="04TextoN"/>
        <w:numPr>
          <w:ilvl w:val="0"/>
          <w:numId w:val="1"/>
        </w:numPr>
      </w:pPr>
      <w:r w:rsidRPr="00733204">
        <w:t xml:space="preserve">Promover la participación de la comunidad en las ofertas y promociones de mercancía que se realicen en </w:t>
      </w:r>
      <w:r w:rsidR="005F4594">
        <w:t>las tiendas comunitarias y unidades móviles</w:t>
      </w:r>
      <w:r w:rsidRPr="00733204">
        <w:t xml:space="preserve"> del Programa.</w:t>
      </w:r>
    </w:p>
    <w:p w:rsidR="00AA7A77" w:rsidRDefault="00AA7A77" w:rsidP="00733204">
      <w:pPr>
        <w:pStyle w:val="04TextoN"/>
      </w:pPr>
    </w:p>
    <w:p w:rsidR="00733204" w:rsidRPr="00596CFE" w:rsidRDefault="00733204" w:rsidP="00733204">
      <w:pPr>
        <w:pStyle w:val="04TextoN"/>
      </w:pPr>
      <w:r w:rsidRPr="00596CFE">
        <w:t xml:space="preserve">Con respecto al cumplimiento de estas prioridades, a </w:t>
      </w:r>
      <w:r w:rsidR="00D74F3F" w:rsidRPr="00596CFE">
        <w:t>marzo</w:t>
      </w:r>
      <w:r w:rsidRPr="00596CFE">
        <w:t xml:space="preserve"> de 201</w:t>
      </w:r>
      <w:r w:rsidR="00D74F3F" w:rsidRPr="00596CFE">
        <w:t>3</w:t>
      </w:r>
      <w:r w:rsidRPr="00596CFE">
        <w:t xml:space="preserve"> destacan los siguientes resultados:</w:t>
      </w:r>
    </w:p>
    <w:p w:rsidR="00733204" w:rsidRPr="00596CFE" w:rsidRDefault="00733204" w:rsidP="00733204">
      <w:pPr>
        <w:pStyle w:val="04TextoN"/>
        <w:numPr>
          <w:ilvl w:val="0"/>
          <w:numId w:val="1"/>
        </w:numPr>
      </w:pPr>
      <w:r w:rsidRPr="00596CFE">
        <w:t>De los 25</w:t>
      </w:r>
      <w:r w:rsidR="004554EA">
        <w:t>,</w:t>
      </w:r>
      <w:r w:rsidRPr="00596CFE">
        <w:t xml:space="preserve"> </w:t>
      </w:r>
      <w:r w:rsidR="00D74F3F" w:rsidRPr="00596CFE">
        <w:t>192</w:t>
      </w:r>
      <w:r w:rsidR="004554EA">
        <w:t xml:space="preserve"> encargados de tienda, 13,</w:t>
      </w:r>
      <w:r w:rsidR="00D74F3F" w:rsidRPr="00596CFE">
        <w:t>915</w:t>
      </w:r>
      <w:r w:rsidRPr="00596CFE">
        <w:t xml:space="preserve"> son mujeres, lo que equivale al </w:t>
      </w:r>
      <w:r w:rsidR="00D74F3F" w:rsidRPr="00596CFE">
        <w:t>55.2</w:t>
      </w:r>
      <w:r w:rsidRPr="00596CFE">
        <w:t xml:space="preserve"> por ciento.</w:t>
      </w:r>
    </w:p>
    <w:p w:rsidR="00733204" w:rsidRPr="00596CFE" w:rsidRDefault="00733204" w:rsidP="00733204">
      <w:pPr>
        <w:pStyle w:val="04TextoN"/>
        <w:numPr>
          <w:ilvl w:val="0"/>
          <w:numId w:val="1"/>
        </w:numPr>
      </w:pPr>
      <w:r w:rsidRPr="00596CFE">
        <w:t>Se realiza un monitoreo permanente de los precios de los artículos de la Canasta Básica en el mercado nacional, lo cual sirve como información base para obtener precios de compra altamente competitivos en las negociaciones con los proveedores y reflejarlo en la transferencia del margen de ahorro a los consumidores.</w:t>
      </w:r>
    </w:p>
    <w:p w:rsidR="00733204" w:rsidRDefault="00733204" w:rsidP="00733204">
      <w:pPr>
        <w:pStyle w:val="04TextoN"/>
        <w:numPr>
          <w:ilvl w:val="0"/>
          <w:numId w:val="1"/>
        </w:numPr>
      </w:pPr>
      <w:r w:rsidRPr="00596CFE">
        <w:t>A</w:t>
      </w:r>
      <w:r w:rsidR="00376298" w:rsidRPr="00596CFE">
        <w:t>l cierre de marzo de 2013</w:t>
      </w:r>
      <w:r w:rsidRPr="00596CFE">
        <w:t xml:space="preserve"> el precio de venta del </w:t>
      </w:r>
      <w:r w:rsidR="002768AB" w:rsidRPr="00596CFE">
        <w:t xml:space="preserve">kilogramo de </w:t>
      </w:r>
      <w:r w:rsidRPr="00596CFE">
        <w:t>maíz como en el de la harina de maíz marca propia “Mi Masa” cerra</w:t>
      </w:r>
      <w:r w:rsidR="00376298" w:rsidRPr="00596CFE">
        <w:t>ron</w:t>
      </w:r>
      <w:r w:rsidRPr="00596CFE">
        <w:t xml:space="preserve"> </w:t>
      </w:r>
      <w:r w:rsidR="00376298" w:rsidRPr="00596CFE">
        <w:t>en 5</w:t>
      </w:r>
      <w:r w:rsidR="004554EA">
        <w:t xml:space="preserve"> pesos y 8 </w:t>
      </w:r>
      <w:r w:rsidR="00376298" w:rsidRPr="00596CFE">
        <w:t xml:space="preserve">pesos </w:t>
      </w:r>
      <w:r w:rsidR="002768AB" w:rsidRPr="00596CFE">
        <w:t>respectivamente</w:t>
      </w:r>
      <w:r w:rsidRPr="00596CFE">
        <w:t>.</w:t>
      </w:r>
    </w:p>
    <w:p w:rsidR="00596CFE" w:rsidRDefault="00596CFE" w:rsidP="00596CFE">
      <w:pPr>
        <w:pStyle w:val="04TextoN"/>
      </w:pPr>
    </w:p>
    <w:p w:rsidR="00596CFE" w:rsidRPr="00733204" w:rsidRDefault="00596CFE" w:rsidP="00596CFE">
      <w:pPr>
        <w:pStyle w:val="04TextoN"/>
      </w:pPr>
    </w:p>
    <w:p w:rsidR="00EF249C" w:rsidRDefault="00EF249C" w:rsidP="007D0B7F">
      <w:pPr>
        <w:pStyle w:val="01Fraccion"/>
        <w:spacing w:before="240" w:after="240" w:line="320" w:lineRule="exact"/>
        <w:rPr>
          <w:rFonts w:cs="Times New Roman"/>
          <w:bCs/>
          <w:szCs w:val="26"/>
        </w:rPr>
      </w:pPr>
      <w:r>
        <w:rPr>
          <w:rFonts w:cs="Times New Roman"/>
          <w:bCs/>
          <w:szCs w:val="26"/>
        </w:rPr>
        <w:lastRenderedPageBreak/>
        <w:t>IV.</w:t>
      </w:r>
      <w:r>
        <w:rPr>
          <w:rFonts w:cs="Times New Roman"/>
          <w:bCs/>
          <w:szCs w:val="26"/>
        </w:rPr>
        <w:tab/>
        <w:t>Garantizar que los recursos se canalicen exclusivamente a la población objetivo y asegurar que el mecanismo de distribución, operación y administración facilite la obtención de información y la evaluación de los beneficios económicos y sociales de su asignación y aplicación; así como evitar que se destinen recursos a una administración costosa y excesiva</w:t>
      </w:r>
    </w:p>
    <w:p w:rsidR="00733204" w:rsidRPr="00733204" w:rsidRDefault="00733204" w:rsidP="007D0B7F">
      <w:pPr>
        <w:pStyle w:val="04TextoN"/>
        <w:spacing w:before="240" w:after="240" w:line="240" w:lineRule="auto"/>
      </w:pPr>
      <w:r w:rsidRPr="00733204">
        <w:t xml:space="preserve">Como se mencionó previamente, el Programa no cuenta con un Padrón de Beneficiarios, sino que el apoyo se otorga vía precios a población abierta. Asimismo, se asegura que el beneficio llegue a la población objetivo en el momento que se autoriza la apertura de una tienda, al aplicar los criterios establecidos en las Reglas de Operación. </w:t>
      </w:r>
    </w:p>
    <w:p w:rsidR="00733204" w:rsidRPr="00733204" w:rsidRDefault="00733204" w:rsidP="007D0B7F">
      <w:pPr>
        <w:pStyle w:val="04TextoN"/>
        <w:spacing w:before="240" w:after="240" w:line="240" w:lineRule="auto"/>
      </w:pPr>
      <w:r w:rsidRPr="00733204">
        <w:t>Una vez instalada la tienda en una localidad que cumpla con los requisitos establecidos en las Reglas, o a través de unidades móviles que visitan las localidades que por sus características de dispersión y poca población no son susceptibles para la instalación de una tienda  fija, todos los habitantes y personas que se ubiquen en aquellas pueden beneficiarse del apoyo que se otorga a través de la compra de los productos que se venden en dichos establecimientos al comprar a precios menores a los del comercio local.</w:t>
      </w:r>
    </w:p>
    <w:p w:rsidR="00733204" w:rsidRPr="00733204" w:rsidRDefault="00733204" w:rsidP="007D0B7F">
      <w:pPr>
        <w:pStyle w:val="04TextoN"/>
        <w:spacing w:before="240" w:after="240"/>
      </w:pPr>
      <w:r w:rsidRPr="00733204">
        <w:t>Al instalar una tienda comunitaria, DICONSA puede funcionar como regulador de precios en el mercado local al evitar que el comercio privado eleve indiscriminadamente los precios de los productos que vende, lo cual tiene efectos positivos en la economía familiar de quienes menos tienen.</w:t>
      </w:r>
    </w:p>
    <w:p w:rsidR="00733204" w:rsidRPr="00733204" w:rsidRDefault="00733204" w:rsidP="007D0B7F">
      <w:pPr>
        <w:pStyle w:val="04TextoN"/>
        <w:spacing w:before="240" w:after="240"/>
      </w:pPr>
      <w:r w:rsidRPr="00733204">
        <w:t xml:space="preserve">Se hace especial énfasis en la capacitación de los encargados de tienda, para que desarrollen sus capacidades y se mejore su función comercial, operativa, administrativa y de servicio comunitario. Igualmente en el caso de los Comités Rurales de Abasto y Consejos Comunitarios de Abasto, para que apoyen y supervisen la operación de tiendas y almacenes. Mediante la participación social organizada se logran economías importantes en la operación del Programa. </w:t>
      </w:r>
    </w:p>
    <w:p w:rsidR="00733204" w:rsidRPr="00733204" w:rsidRDefault="00733204" w:rsidP="007D0B7F">
      <w:pPr>
        <w:pStyle w:val="04TextoN"/>
        <w:spacing w:before="240" w:after="240"/>
      </w:pPr>
      <w:r w:rsidRPr="00596CFE">
        <w:t xml:space="preserve">En la operación del Programa, DICONSA hace uso de la red operativa instalada en los 31 estados de la República, compuesta por </w:t>
      </w:r>
      <w:r w:rsidR="005C2295">
        <w:t>29</w:t>
      </w:r>
      <w:r w:rsidRPr="00596CFE">
        <w:t xml:space="preserve"> Almacenes Centrales, 26</w:t>
      </w:r>
      <w:r w:rsidR="001616F0" w:rsidRPr="00596CFE">
        <w:t>9</w:t>
      </w:r>
      <w:r w:rsidRPr="00596CFE">
        <w:t xml:space="preserve"> Almacenes Rurales, un Almacén Granelero, cinco Almacenes para Programas Especiales y </w:t>
      </w:r>
      <w:r w:rsidR="004554EA">
        <w:t>3,748</w:t>
      </w:r>
      <w:r w:rsidRPr="00596CFE">
        <w:t xml:space="preserve"> vehículos en operación (2</w:t>
      </w:r>
      <w:r w:rsidR="004554EA">
        <w:t>,</w:t>
      </w:r>
      <w:r w:rsidR="001616F0" w:rsidRPr="00596CFE">
        <w:t>096</w:t>
      </w:r>
      <w:r w:rsidRPr="00596CFE">
        <w:t xml:space="preserve"> de carga, 1,4</w:t>
      </w:r>
      <w:r w:rsidR="001616F0" w:rsidRPr="00596CFE">
        <w:t>21</w:t>
      </w:r>
      <w:r w:rsidRPr="00596CFE">
        <w:t xml:space="preserve"> de supervisión y 2</w:t>
      </w:r>
      <w:r w:rsidR="001616F0" w:rsidRPr="00596CFE">
        <w:t>31</w:t>
      </w:r>
      <w:r w:rsidRPr="00596CFE">
        <w:t xml:space="preserve"> de apoyo), que mediante una distribución estratégica abastecen a las tiendas comunitarias.</w:t>
      </w:r>
    </w:p>
    <w:p w:rsidR="00733204" w:rsidRPr="00733204" w:rsidRDefault="00733204" w:rsidP="007D0B7F">
      <w:pPr>
        <w:pStyle w:val="04TextoN"/>
        <w:spacing w:before="240" w:after="240"/>
      </w:pPr>
      <w:r w:rsidRPr="00733204">
        <w:t xml:space="preserve">Actualmente el </w:t>
      </w:r>
      <w:r w:rsidR="005C2295" w:rsidRPr="005C2295">
        <w:t>24.8</w:t>
      </w:r>
      <w:r w:rsidRPr="005C2295">
        <w:t xml:space="preserve"> por ciento</w:t>
      </w:r>
      <w:r w:rsidRPr="00733204">
        <w:t xml:space="preserve"> de la flota en operación tiene una antigüedad mayor o igual a 10 años, por lo que ha concluido su vida útil y será necesario reponerla en el corto plazo.</w:t>
      </w:r>
    </w:p>
    <w:p w:rsidR="00733204" w:rsidRDefault="00733204" w:rsidP="00733204">
      <w:pPr>
        <w:pStyle w:val="04TextoN"/>
      </w:pPr>
      <w:r w:rsidRPr="00733204">
        <w:t xml:space="preserve">La operación de la infraestructura se evalúa continuamente para atender las necesidades de reposición y mantenimiento y ajustarla gradualmente a los parámetros de eficiencia y rendimiento, de manera que permita a la entidad cumplir con los objetivos del Programa al menor costo posible. </w:t>
      </w:r>
    </w:p>
    <w:p w:rsidR="007D0B7F" w:rsidRDefault="007D0B7F" w:rsidP="00733204">
      <w:pPr>
        <w:pStyle w:val="04TextoN"/>
      </w:pPr>
    </w:p>
    <w:p w:rsidR="007D0B7F" w:rsidRPr="00733204" w:rsidRDefault="007D0B7F" w:rsidP="00733204">
      <w:pPr>
        <w:pStyle w:val="04TextoN"/>
      </w:pPr>
    </w:p>
    <w:p w:rsidR="00733204" w:rsidRPr="00DE760D" w:rsidRDefault="00733204" w:rsidP="00DE760D">
      <w:pPr>
        <w:pStyle w:val="03bSubprogra"/>
      </w:pPr>
      <w:r w:rsidRPr="00733204">
        <w:lastRenderedPageBreak/>
        <w:t>Contraloría Social</w:t>
      </w:r>
    </w:p>
    <w:p w:rsidR="00733204" w:rsidRPr="00733204" w:rsidRDefault="00733204" w:rsidP="00733204">
      <w:pPr>
        <w:pStyle w:val="04TextoN"/>
      </w:pPr>
      <w:r w:rsidRPr="00733204">
        <w:t>El Programa de Abasto Rural, contempla un esquema de corresponsabilidad entre el Gobierno Federal y los habitantes de las comunidades beneficiarias, mismos que son representados a través de Comités Rurales de Abasto, en cuya integración se considera la figura de un vocal de contraloría social con el objetivo de promover acciones de seguimiento, supervisión y vigilancia del cumplimiento de metas y acciones comprometidas por el Programa, así como la correcta aplicación de los recursos públicos asignados al mismo.</w:t>
      </w:r>
    </w:p>
    <w:p w:rsidR="00733204" w:rsidRPr="00733204" w:rsidRDefault="00733204" w:rsidP="00733204">
      <w:pPr>
        <w:pStyle w:val="04TextoN"/>
      </w:pPr>
      <w:r w:rsidRPr="00733204">
        <w:t xml:space="preserve">La Secretaría de la Función Pública, reconoce que la participación de la sociedad forma un elemento indispensable y que constituye una práctica de transparencia y rendición de cuentas para lograr los objetivos del Programa mediante actividades de contraloría social. </w:t>
      </w:r>
    </w:p>
    <w:p w:rsidR="00733204" w:rsidRPr="00733204" w:rsidRDefault="00733204" w:rsidP="00733204">
      <w:pPr>
        <w:pStyle w:val="04TextoN"/>
      </w:pPr>
      <w:r w:rsidRPr="00733204">
        <w:t xml:space="preserve">En ese sentido, DICONSA cuenta con </w:t>
      </w:r>
      <w:r w:rsidRPr="00AA7A77">
        <w:t>25,1</w:t>
      </w:r>
      <w:r w:rsidR="00AA7A77" w:rsidRPr="00AA7A77">
        <w:t>92</w:t>
      </w:r>
      <w:r w:rsidRPr="00AA7A77">
        <w:t xml:space="preserve"> Comités</w:t>
      </w:r>
      <w:r w:rsidRPr="00733204">
        <w:t xml:space="preserve"> Rurales de Abasto que operan la Contraloría Social de conformidad con los lineamientos emitidos por la Secretaría de la Función Pública y mediante los instrumentos validados por esta dependencia federal, mismos que establecen mecanismos de vigilancia, seguimiento y evaluación de las actividades relacionadas con la Contraloría Social en Sucursales, Unidades Operativas y Almacenes.</w:t>
      </w:r>
    </w:p>
    <w:p w:rsidR="00EF249C" w:rsidRDefault="00EF249C" w:rsidP="00EF249C">
      <w:pPr>
        <w:pStyle w:val="01Fraccion"/>
        <w:spacing w:before="360" w:line="320" w:lineRule="exact"/>
        <w:rPr>
          <w:rFonts w:cs="Times New Roman"/>
          <w:bCs/>
          <w:szCs w:val="26"/>
        </w:rPr>
      </w:pPr>
      <w:r>
        <w:rPr>
          <w:rFonts w:cs="Times New Roman"/>
          <w:bCs/>
          <w:szCs w:val="26"/>
        </w:rPr>
        <w:t>V.</w:t>
      </w:r>
      <w:r>
        <w:rPr>
          <w:rFonts w:cs="Times New Roman"/>
          <w:bCs/>
          <w:szCs w:val="26"/>
        </w:rPr>
        <w:tab/>
        <w:t>Incorporar mecanismos periódicos de seguimiento, supervisión y evaluación que permitan ajustar las modalidades de su operación o decidir sobre su cancelación</w:t>
      </w:r>
    </w:p>
    <w:p w:rsidR="00733204" w:rsidRPr="00733204" w:rsidRDefault="00733204" w:rsidP="00733204">
      <w:pPr>
        <w:pStyle w:val="04TextoN"/>
      </w:pPr>
      <w:r w:rsidRPr="00733204">
        <w:t xml:space="preserve">DICONSA cuenta con mecanismos que permiten el seguimiento, la supervisión y la evaluación periódica del Programa, con el objetivo de orientar su gestión hacia una operación eficiente, al logro de resultados, a contribuir a mejorar las condiciones de vida de los habitantes de las localidades beneficiarias, así como a fortalecer la rendición de cuentas y a transparentar el ejercicio de los recursos públicos. </w:t>
      </w:r>
    </w:p>
    <w:p w:rsidR="00733204" w:rsidRPr="00733204" w:rsidRDefault="00733204" w:rsidP="00733204">
      <w:pPr>
        <w:pStyle w:val="04TextoN"/>
      </w:pPr>
      <w:r w:rsidRPr="00733204">
        <w:t>Las acciones desarrolladas y los resultados obtenidos en la operación del Programa son informados trimestralmente por el Director General al H. Consejo de Administración de DICONSA, S.A. de C.V.</w:t>
      </w:r>
    </w:p>
    <w:p w:rsidR="00733204" w:rsidRPr="00DE760D" w:rsidRDefault="00733204" w:rsidP="00DE760D">
      <w:pPr>
        <w:pStyle w:val="03bSubprogra"/>
      </w:pPr>
      <w:r w:rsidRPr="00DE760D">
        <w:t>Seguimiento</w:t>
      </w:r>
    </w:p>
    <w:p w:rsidR="00733204" w:rsidRDefault="00733204" w:rsidP="00733204">
      <w:pPr>
        <w:pStyle w:val="04TextoN"/>
      </w:pPr>
      <w:r w:rsidRPr="00733204">
        <w:t xml:space="preserve">A través del Portal Aplicativo de la Secretaría de Hacienda y Crédito Público (PASH) se publica el avance de los indicadores correspondiente a las metas establecidas en el Presupuesto de Egresos de la Federación. </w:t>
      </w:r>
    </w:p>
    <w:p w:rsidR="00F57CBC" w:rsidRDefault="00733204" w:rsidP="00733204">
      <w:pPr>
        <w:pStyle w:val="04TextoN"/>
      </w:pPr>
      <w:r w:rsidRPr="00733204">
        <w:t xml:space="preserve">Con base en lo establecido en el Mecanismo de Seguimiento a los Aspectos Susceptibles de Mejora (ASM), emitido por la Secretaría de Hacienda y Crédito Público, el Consejo Nacional de Evaluación de la Política del Desarrollo Social y la Secretaría de la Función Pública, se da seguimiento a los ASM </w:t>
      </w:r>
      <w:r w:rsidR="00055AFB">
        <w:t xml:space="preserve">que deriven de </w:t>
      </w:r>
      <w:r w:rsidRPr="00733204">
        <w:t xml:space="preserve">los informes y evaluaciones del Programa de Abasto Rural concluidas durante el ejercicio fiscal </w:t>
      </w:r>
      <w:r w:rsidR="00055AFB">
        <w:t>inmediato anterior</w:t>
      </w:r>
      <w:r w:rsidRPr="00733204">
        <w:t xml:space="preserve">. </w:t>
      </w:r>
    </w:p>
    <w:p w:rsidR="00055AFB" w:rsidRDefault="00733204" w:rsidP="00733204">
      <w:pPr>
        <w:pStyle w:val="04TextoN"/>
      </w:pPr>
      <w:r w:rsidRPr="00733204">
        <w:t xml:space="preserve">Al cierre del mes de </w:t>
      </w:r>
      <w:r w:rsidR="00F57CBC">
        <w:t>marzo</w:t>
      </w:r>
      <w:r w:rsidRPr="00733204">
        <w:t xml:space="preserve">, </w:t>
      </w:r>
      <w:r w:rsidR="00055AFB">
        <w:t xml:space="preserve">no se han definido los </w:t>
      </w:r>
      <w:r w:rsidRPr="00055AFB">
        <w:t xml:space="preserve">ASM </w:t>
      </w:r>
      <w:r w:rsidR="00055AFB" w:rsidRPr="00055AFB">
        <w:t xml:space="preserve">tanto específicos como institucionales por atender por parte </w:t>
      </w:r>
      <w:r w:rsidRPr="00055AFB">
        <w:t>de DICONSA</w:t>
      </w:r>
      <w:r w:rsidR="00055AFB" w:rsidRPr="00055AFB">
        <w:t xml:space="preserve"> durante el ejercicio 2013.</w:t>
      </w:r>
    </w:p>
    <w:p w:rsidR="00733204" w:rsidRDefault="00733204" w:rsidP="00733204">
      <w:pPr>
        <w:pStyle w:val="04TextoN"/>
      </w:pPr>
      <w:r w:rsidRPr="00733204">
        <w:t xml:space="preserve">Asimismo, en cumplimiento en lo dispuesto en el numeral 7.1 de las Reglas de Operación del Programa, </w:t>
      </w:r>
      <w:r w:rsidR="00055AFB" w:rsidRPr="00055AFB">
        <w:t>se tiene previsto realizar acciones de seguimiento físico, acordadas con la Subsecretaría de Prospectiva, Planeación y Evaluación de la Secretaría de Desarrollo Social</w:t>
      </w:r>
      <w:r w:rsidRPr="00733204">
        <w:t>.</w:t>
      </w:r>
    </w:p>
    <w:p w:rsidR="00733204" w:rsidRPr="00DE760D" w:rsidRDefault="00733204" w:rsidP="00DE760D">
      <w:pPr>
        <w:pStyle w:val="03bSubprogra"/>
      </w:pPr>
      <w:r w:rsidRPr="00DE760D">
        <w:lastRenderedPageBreak/>
        <w:t>Supervisión</w:t>
      </w:r>
    </w:p>
    <w:p w:rsidR="00733204" w:rsidRDefault="00733204" w:rsidP="00733204">
      <w:pPr>
        <w:pStyle w:val="04TextoN"/>
      </w:pPr>
      <w:r w:rsidRPr="00733204">
        <w:t xml:space="preserve">DICONSA en coordinación con los Comités Rurales de Abasto son los responsables de monitorear que las Tiendas operen de acuerdo con lo establecido en las Reglas de Operación y a la normatividad interna aplicable. </w:t>
      </w:r>
    </w:p>
    <w:p w:rsidR="00733204" w:rsidRPr="00733204" w:rsidRDefault="00733204" w:rsidP="00733204">
      <w:pPr>
        <w:pStyle w:val="04TextoN"/>
      </w:pPr>
      <w:r w:rsidRPr="00733204">
        <w:t>Los supervisores operativos de DICONSA adscritos a los almacenes rurales realizan la apertura, seguimiento y cierre de tiendas. Como parte del seguimiento, periódicamente verifican su funcionamiento operativo y administrativo, realizan  auditorías, aplican el muestreo de precios para determinar el margen de ahorro, programan y promueven la participación social, informan a la comunidad del resultado operativo de la tienda y asesoran al Comité Rural de Abasto y al encargado de tienda en su operación y administración.</w:t>
      </w:r>
    </w:p>
    <w:p w:rsidR="00733204" w:rsidRPr="00733204" w:rsidRDefault="00733204" w:rsidP="00733204">
      <w:pPr>
        <w:pStyle w:val="04TextoN"/>
      </w:pPr>
      <w:r w:rsidRPr="00733204">
        <w:t xml:space="preserve">El personal de oficinas centrales realiza una supervisión selectiva de apoyo a las Sucursales y Unidades </w:t>
      </w:r>
      <w:r w:rsidRPr="00AA7A77">
        <w:t xml:space="preserve">Operativas en el control de la operación de almacenes y tiendas. Al </w:t>
      </w:r>
      <w:r w:rsidR="008F5F2E" w:rsidRPr="00AA7A77">
        <w:t>primer</w:t>
      </w:r>
      <w:r w:rsidRPr="00AA7A77">
        <w:t xml:space="preserve"> trimestre del 201</w:t>
      </w:r>
      <w:r w:rsidR="008F5F2E" w:rsidRPr="00AA7A77">
        <w:t>3</w:t>
      </w:r>
      <w:r w:rsidRPr="00AA7A77">
        <w:t xml:space="preserve"> la Gerencia de Supervisión y Participación Comunitaria se avocó a realizar visitas de supervisión y seguimiento a </w:t>
      </w:r>
      <w:r w:rsidR="008F5F2E" w:rsidRPr="00AA7A77">
        <w:t>14</w:t>
      </w:r>
      <w:r w:rsidRPr="00AA7A77">
        <w:t xml:space="preserve"> Almacenes Rurales </w:t>
      </w:r>
      <w:r w:rsidR="00F47A1F">
        <w:t xml:space="preserve">y una muestra de tiendas comunitarias de los mismos </w:t>
      </w:r>
      <w:r w:rsidR="008F5F2E" w:rsidRPr="00AA7A77">
        <w:t>en</w:t>
      </w:r>
      <w:r w:rsidRPr="00AA7A77">
        <w:t xml:space="preserve"> las siguientes sucursales: </w:t>
      </w:r>
      <w:r w:rsidR="008F5F2E" w:rsidRPr="00AA7A77">
        <w:t>Peninsular</w:t>
      </w:r>
      <w:r w:rsidRPr="00AA7A77">
        <w:t xml:space="preserve"> (</w:t>
      </w:r>
      <w:r w:rsidR="008F5F2E" w:rsidRPr="00AA7A77">
        <w:t>cuatro</w:t>
      </w:r>
      <w:r w:rsidRPr="00AA7A77">
        <w:t xml:space="preserve"> almac</w:t>
      </w:r>
      <w:r w:rsidR="008F5F2E" w:rsidRPr="00AA7A77">
        <w:t>enes</w:t>
      </w:r>
      <w:r w:rsidRPr="00AA7A77">
        <w:t>), Sureste (</w:t>
      </w:r>
      <w:r w:rsidR="008F5F2E" w:rsidRPr="00AA7A77">
        <w:t>dos</w:t>
      </w:r>
      <w:r w:rsidRPr="00AA7A77">
        <w:t xml:space="preserve"> almacenes); </w:t>
      </w:r>
      <w:r w:rsidR="008F5F2E" w:rsidRPr="00AA7A77">
        <w:t>Centro</w:t>
      </w:r>
      <w:r w:rsidRPr="00AA7A77">
        <w:t xml:space="preserve"> (</w:t>
      </w:r>
      <w:r w:rsidR="008F5F2E" w:rsidRPr="00AA7A77">
        <w:t>un</w:t>
      </w:r>
      <w:r w:rsidRPr="00AA7A77">
        <w:t xml:space="preserve"> almac</w:t>
      </w:r>
      <w:r w:rsidR="008F5F2E" w:rsidRPr="00AA7A77">
        <w:t>én</w:t>
      </w:r>
      <w:r w:rsidRPr="00AA7A77">
        <w:t xml:space="preserve">); </w:t>
      </w:r>
      <w:r w:rsidR="008F5F2E" w:rsidRPr="00AA7A77">
        <w:t xml:space="preserve">Michoacán (2 almacenes) y </w:t>
      </w:r>
      <w:r w:rsidRPr="00AA7A77">
        <w:t>Sur (</w:t>
      </w:r>
      <w:r w:rsidR="008F5F2E" w:rsidRPr="00AA7A77">
        <w:t>cinco</w:t>
      </w:r>
      <w:r w:rsidRPr="00AA7A77">
        <w:t xml:space="preserve"> almacenes</w:t>
      </w:r>
      <w:r w:rsidR="008F5F2E" w:rsidRPr="00AA7A77">
        <w:t>)</w:t>
      </w:r>
      <w:r w:rsidR="00F47A1F">
        <w:t xml:space="preserve"> y 110 tiendas atendidas por estos almacenes</w:t>
      </w:r>
      <w:r w:rsidR="008F5F2E" w:rsidRPr="00AA7A77">
        <w:t>.</w:t>
      </w:r>
    </w:p>
    <w:p w:rsidR="00733204" w:rsidRPr="00DE760D" w:rsidRDefault="00733204" w:rsidP="00DE760D">
      <w:pPr>
        <w:pStyle w:val="03bSubprogra"/>
      </w:pPr>
      <w:r w:rsidRPr="00DE760D">
        <w:t>Evaluación</w:t>
      </w:r>
    </w:p>
    <w:p w:rsidR="00733204" w:rsidRPr="002831D3" w:rsidRDefault="00733204" w:rsidP="00733204">
      <w:pPr>
        <w:pStyle w:val="04TextoN"/>
      </w:pPr>
      <w:r w:rsidRPr="002831D3">
        <w:t>El Programa Anual de Evaluación 201</w:t>
      </w:r>
      <w:r w:rsidR="00301575" w:rsidRPr="002831D3">
        <w:t>2</w:t>
      </w:r>
      <w:r w:rsidRPr="002831D3">
        <w:t xml:space="preserve"> emitido por el Consejo Nacional de Evaluación de la Política de Desarrollo Social (CONEVAL) contempló la realización de una evaluación </w:t>
      </w:r>
      <w:r w:rsidR="00301575" w:rsidRPr="002831D3">
        <w:t xml:space="preserve">específica de desempeño </w:t>
      </w:r>
      <w:r w:rsidR="00F2654D" w:rsidRPr="002831D3">
        <w:t>al P</w:t>
      </w:r>
      <w:r w:rsidR="00301575" w:rsidRPr="002831D3">
        <w:t>rograma de Abasto Rural en 2013</w:t>
      </w:r>
      <w:r w:rsidRPr="002831D3">
        <w:t>.</w:t>
      </w:r>
      <w:r w:rsidR="00301575" w:rsidRPr="002831D3">
        <w:t xml:space="preserve"> La cual será coordinada y contratada por el CONEVAL.</w:t>
      </w:r>
    </w:p>
    <w:p w:rsidR="00733204" w:rsidRPr="00733204" w:rsidRDefault="00733204" w:rsidP="00733204">
      <w:pPr>
        <w:pStyle w:val="04TextoN"/>
      </w:pPr>
      <w:r w:rsidRPr="002831D3">
        <w:t>Por otro lado, el Programa Anual de Evaluación 201</w:t>
      </w:r>
      <w:r w:rsidR="002831D3" w:rsidRPr="002831D3">
        <w:t>3</w:t>
      </w:r>
      <w:r w:rsidRPr="002831D3">
        <w:t xml:space="preserve"> emitido por el CONEVAL, no contempla ninguna evaluación para el Programa durante 201</w:t>
      </w:r>
      <w:r w:rsidR="002831D3" w:rsidRPr="002831D3">
        <w:t>3</w:t>
      </w:r>
      <w:r w:rsidRPr="002831D3">
        <w:t>. No obstante, por parte de DICONSA se continuará promoviendo la realización de una evaluación de impacto del Programa.</w:t>
      </w:r>
    </w:p>
    <w:p w:rsidR="00EF249C" w:rsidRDefault="00EF249C" w:rsidP="00EF249C">
      <w:pPr>
        <w:pStyle w:val="01Fraccion"/>
        <w:spacing w:before="360" w:line="320" w:lineRule="exact"/>
        <w:rPr>
          <w:rFonts w:cs="Times New Roman"/>
          <w:bCs/>
          <w:szCs w:val="26"/>
        </w:rPr>
      </w:pPr>
      <w:r>
        <w:rPr>
          <w:rFonts w:cs="Times New Roman"/>
          <w:bCs/>
          <w:szCs w:val="26"/>
        </w:rPr>
        <w:t>VI.</w:t>
      </w:r>
      <w:r>
        <w:rPr>
          <w:rFonts w:cs="Times New Roman"/>
          <w:bCs/>
          <w:szCs w:val="26"/>
        </w:rPr>
        <w:tab/>
        <w:t>En su caso, buscar fuentes alternativas de ingresos para lograr una mayor autosuficiencia y una disminución o cancelación de los apoyos con cargo a recursos presupuestarios</w:t>
      </w:r>
    </w:p>
    <w:p w:rsidR="00733204" w:rsidRPr="00733204" w:rsidRDefault="00733204" w:rsidP="00733204">
      <w:pPr>
        <w:pStyle w:val="04TextoN"/>
      </w:pPr>
      <w:r w:rsidRPr="00733204">
        <w:t>No aplica.</w:t>
      </w:r>
    </w:p>
    <w:p w:rsidR="00EF249C" w:rsidRDefault="00EF249C" w:rsidP="00EF249C">
      <w:pPr>
        <w:pStyle w:val="01Fraccion"/>
        <w:spacing w:before="360" w:line="320" w:lineRule="exact"/>
        <w:rPr>
          <w:rFonts w:cs="Times New Roman"/>
          <w:bCs/>
          <w:szCs w:val="26"/>
        </w:rPr>
      </w:pPr>
      <w:r>
        <w:rPr>
          <w:rFonts w:cs="Times New Roman"/>
          <w:bCs/>
          <w:szCs w:val="26"/>
        </w:rPr>
        <w:t>VII.</w:t>
      </w:r>
      <w:r>
        <w:rPr>
          <w:rFonts w:cs="Times New Roman"/>
          <w:bCs/>
          <w:szCs w:val="26"/>
        </w:rPr>
        <w:tab/>
        <w:t>Asegurar la coordinación de acciones entre dependencias y entidades, para evitar duplicación en el ejercicio de los recursos y reducir gastos administrativos</w:t>
      </w:r>
    </w:p>
    <w:p w:rsidR="00733204" w:rsidRPr="00733204" w:rsidRDefault="00733204" w:rsidP="00733204">
      <w:pPr>
        <w:pStyle w:val="04TextoN"/>
      </w:pPr>
      <w:r w:rsidRPr="00733204">
        <w:t>DICONSA es la encargada de la operación del Programa el cual se realiza por medio del trabajo coordinado entre las Oficinas Centrales, las Sucursales y Unidades Operativas, así como los Almacenes en el interior de la República.</w:t>
      </w:r>
    </w:p>
    <w:p w:rsidR="00733204" w:rsidRPr="00733204" w:rsidRDefault="00733204" w:rsidP="00733204">
      <w:pPr>
        <w:pStyle w:val="04TextoN"/>
      </w:pPr>
      <w:r w:rsidRPr="00733204">
        <w:t>DICONSA, conjuntamente con la Sedesol, establece los mecanismos de coordinación para garantizar que las acciones del Programa no se contrapongan, afecten, o presenten duplicidades con otros programas o acciones del Gobierno Federal.</w:t>
      </w:r>
    </w:p>
    <w:p w:rsidR="00733204" w:rsidRPr="00733204" w:rsidRDefault="00733204" w:rsidP="00885894">
      <w:pPr>
        <w:pStyle w:val="04TextoN"/>
        <w:spacing w:before="240" w:after="240"/>
      </w:pPr>
      <w:r w:rsidRPr="00733204">
        <w:lastRenderedPageBreak/>
        <w:t xml:space="preserve">La coordinación institucional y vinculación de acciones busca potenciar el impacto de los recursos, fortalecer la cobertura de las acciones, </w:t>
      </w:r>
      <w:r w:rsidR="00D942BE">
        <w:t>impulsar</w:t>
      </w:r>
      <w:r w:rsidRPr="00733204">
        <w:t xml:space="preserve"> la complementariedad y reducir gastos administrativos. Con este mismo propósito, DICONSA realiza acciones de coordinación con los gobiernos de las entidades federativas</w:t>
      </w:r>
      <w:r w:rsidR="003B1DE4">
        <w:t xml:space="preserve"> y municipios</w:t>
      </w:r>
      <w:r w:rsidRPr="00733204">
        <w:t>, en el marco de las disposiciones de las Reglas de Operación del Programa y de la normatividad aplicable.</w:t>
      </w:r>
    </w:p>
    <w:p w:rsidR="00733204" w:rsidRPr="00733204" w:rsidRDefault="00733204" w:rsidP="00885894">
      <w:pPr>
        <w:pStyle w:val="04TextoN"/>
        <w:spacing w:before="240" w:after="240"/>
      </w:pPr>
      <w:r w:rsidRPr="00733204">
        <w:t xml:space="preserve">En esta vinculación, DICONSA abasteció diversos productos a las instituciones que tienen a su cargo Programas </w:t>
      </w:r>
      <w:r w:rsidRPr="00AA7A77">
        <w:t xml:space="preserve">Especiales para apoyar a la población objetivo. De enero a </w:t>
      </w:r>
      <w:r w:rsidR="003B1DE4" w:rsidRPr="00AA7A77">
        <w:t>marzo</w:t>
      </w:r>
      <w:r w:rsidRPr="00AA7A77">
        <w:t xml:space="preserve"> de 201</w:t>
      </w:r>
      <w:r w:rsidR="003B1DE4" w:rsidRPr="00AA7A77">
        <w:t>3</w:t>
      </w:r>
      <w:r w:rsidRPr="00AA7A77">
        <w:t xml:space="preserve">, las ventas por este concepto fueron por </w:t>
      </w:r>
      <w:r w:rsidR="003B1DE4" w:rsidRPr="00AA7A77">
        <w:t>130.8</w:t>
      </w:r>
      <w:r w:rsidRPr="00AA7A77">
        <w:t xml:space="preserve"> millones de pesos, lo que significa el </w:t>
      </w:r>
      <w:r w:rsidR="003B1DE4" w:rsidRPr="00AA7A77">
        <w:t>8.7</w:t>
      </w:r>
      <w:r w:rsidRPr="00AA7A77">
        <w:t xml:space="preserve"> por ciento de las ventas totales de DICONSA (</w:t>
      </w:r>
      <w:r w:rsidR="003B1DE4" w:rsidRPr="00AA7A77">
        <w:t>1,499.7</w:t>
      </w:r>
      <w:r w:rsidRPr="00AA7A77">
        <w:t xml:space="preserve"> millones de pesos). Los</w:t>
      </w:r>
      <w:r w:rsidRPr="00733204">
        <w:t xml:space="preserve"> artículos que se venden para los Programas Especiales son principalmente desayunos calientes y fríos, suplementos alimenticios a clínicas del IMSS, y en menor grado otros productos como artículos escolares. </w:t>
      </w:r>
    </w:p>
    <w:p w:rsidR="00733204" w:rsidRPr="00733204" w:rsidRDefault="00733204" w:rsidP="00885894">
      <w:pPr>
        <w:pStyle w:val="04TextoN"/>
        <w:spacing w:before="240" w:after="240"/>
      </w:pPr>
      <w:r w:rsidRPr="00733204">
        <w:t xml:space="preserve">DICONSA surtió artículos durante </w:t>
      </w:r>
      <w:r w:rsidRPr="00AA7A77">
        <w:t>el periodo enero-</w:t>
      </w:r>
      <w:r w:rsidR="003B1DE4" w:rsidRPr="00AA7A77">
        <w:t>marzo</w:t>
      </w:r>
      <w:r w:rsidRPr="00AA7A77">
        <w:t xml:space="preserve"> de 201</w:t>
      </w:r>
      <w:r w:rsidR="003B1DE4" w:rsidRPr="00AA7A77">
        <w:t>3</w:t>
      </w:r>
      <w:r w:rsidRPr="00AA7A77">
        <w:t>, entre</w:t>
      </w:r>
      <w:r w:rsidRPr="00733204">
        <w:t xml:space="preserve"> otras, al DIF, Secretaría de Salud, Seguro Popular, Oportunidades, Atención a los Albergues Escolares de la Comisión Nacional para el Desarrollo de los Pueblos Indígenas (CDI) y distribución de productos de LICONSA.</w:t>
      </w:r>
    </w:p>
    <w:p w:rsidR="00733204" w:rsidRPr="00733204" w:rsidRDefault="00733204" w:rsidP="00885894">
      <w:pPr>
        <w:pStyle w:val="04TextoN"/>
        <w:spacing w:before="240" w:after="240"/>
      </w:pPr>
      <w:r w:rsidRPr="00733204">
        <w:t xml:space="preserve">DICONSA también promueve sinergias económicas y sociales por medio de la vinculación estratégica con el sector público, social y privado para beneficio de la población objetivo, por medio de proyectos de desarrollo comunitario, así como </w:t>
      </w:r>
      <w:r w:rsidR="00D942BE">
        <w:t>por medio del abasto</w:t>
      </w:r>
      <w:r w:rsidRPr="00733204">
        <w:t xml:space="preserve"> de alimentos y productos complementarios a la población declarada en situación de emergencia</w:t>
      </w:r>
      <w:r w:rsidR="00D942BE">
        <w:t xml:space="preserve"> o desastre.</w:t>
      </w:r>
    </w:p>
    <w:p w:rsidR="00733204" w:rsidRPr="00733204" w:rsidRDefault="00733204" w:rsidP="00733204">
      <w:pPr>
        <w:pStyle w:val="04TextoN"/>
      </w:pPr>
      <w:r w:rsidRPr="00733204">
        <w:t xml:space="preserve">Las situaciones de emergencia son definidas por la Secretaría de Gobernación (SEGOB) en las declaratorias publicadas en el Diario Oficial de la Federación. En situaciones de emergencia originadas por fenómenos y desastres naturales, DICONSA puede adoptar medidas y ejercer acciones para atender la contingencia de acuerdo con la magnitud e inmediatez de atención hacia la población afectada por el desastre, dentro del marco de las Reglas de Operación, de los lineamientos y mecanismos que determinen las instancias federales competentes y las demás disposiciones aplicables. </w:t>
      </w:r>
    </w:p>
    <w:p w:rsidR="00733204" w:rsidRPr="00733204" w:rsidRDefault="00733204" w:rsidP="00885894">
      <w:pPr>
        <w:pStyle w:val="04TextoN"/>
        <w:spacing w:before="240" w:after="240" w:line="240" w:lineRule="auto"/>
      </w:pPr>
      <w:r w:rsidRPr="00733204">
        <w:t xml:space="preserve">De tal suerte, se atiende a la población objetivo del Programa de Abasto Rural y se llevan a cabo acciones de coordinación con las instancias competentes y con el Fondo de Desastres Naturales (FONDEN), dependiente de la SEGOB, con el fin de evitar duplicidades. Es importante mencionar que, </w:t>
      </w:r>
      <w:r w:rsidR="00D942BE">
        <w:t>Diconsa cuenta con</w:t>
      </w:r>
      <w:r w:rsidRPr="00733204">
        <w:t xml:space="preserve"> una reserva técnica compuesta principalmente por productos como lámina galvanizada, lámina de cartón, lámina de fibrocemento, colchonetas y kits de limpieza y aseo personal para poder atender oportunamente las contingencias.</w:t>
      </w:r>
    </w:p>
    <w:p w:rsidR="002478B2" w:rsidRPr="00AA7A77" w:rsidRDefault="00733204" w:rsidP="00885894">
      <w:pPr>
        <w:pStyle w:val="04TextoN"/>
        <w:spacing w:before="240" w:after="240" w:line="240" w:lineRule="auto"/>
      </w:pPr>
      <w:r w:rsidRPr="00AA7A77">
        <w:t xml:space="preserve">De enero a </w:t>
      </w:r>
      <w:r w:rsidR="002478B2" w:rsidRPr="00AA7A77">
        <w:t>marzo</w:t>
      </w:r>
      <w:r w:rsidRPr="00AA7A77">
        <w:t xml:space="preserve"> de 201</w:t>
      </w:r>
      <w:r w:rsidR="002478B2" w:rsidRPr="00AA7A77">
        <w:t>3</w:t>
      </w:r>
      <w:r w:rsidRPr="00AA7A77">
        <w:t xml:space="preserve"> DICONSA atendió </w:t>
      </w:r>
      <w:r w:rsidR="002478B2" w:rsidRPr="00AA7A77">
        <w:t xml:space="preserve">a través de sus Unidades Operativas </w:t>
      </w:r>
      <w:r w:rsidRPr="00AA7A77">
        <w:t>diversos requerimientos de la SEGOB con motivo de las heladas</w:t>
      </w:r>
      <w:r w:rsidR="002478B2" w:rsidRPr="00AA7A77">
        <w:t xml:space="preserve"> y nevadas severas en</w:t>
      </w:r>
      <w:r w:rsidRPr="00AA7A77">
        <w:t xml:space="preserve"> los estados de </w:t>
      </w:r>
      <w:r w:rsidR="002478B2" w:rsidRPr="00AA7A77">
        <w:t>Chihuahua, Sinaloa y Sonora</w:t>
      </w:r>
      <w:r w:rsidRPr="00AA7A77">
        <w:t xml:space="preserve">. En este periodo, DICONSA vendió a la SEGOB productos por un monto total de </w:t>
      </w:r>
      <w:r w:rsidR="002478B2" w:rsidRPr="00AA7A77">
        <w:t>9.1</w:t>
      </w:r>
      <w:r w:rsidRPr="00AA7A77">
        <w:t xml:space="preserve"> millones de pesos, consistentes principalmente en </w:t>
      </w:r>
      <w:r w:rsidR="002478B2" w:rsidRPr="00AA7A77">
        <w:t>despensas alimenticias, agua</w:t>
      </w:r>
      <w:r w:rsidRPr="00AA7A77">
        <w:t xml:space="preserve"> embotellada</w:t>
      </w:r>
      <w:r w:rsidR="002478B2" w:rsidRPr="00AA7A77">
        <w:t xml:space="preserve"> y rollos de hule.</w:t>
      </w:r>
    </w:p>
    <w:p w:rsidR="00733204" w:rsidRDefault="00733204" w:rsidP="0073246B">
      <w:pPr>
        <w:pStyle w:val="04TextoN"/>
        <w:spacing w:before="240" w:after="240" w:line="240" w:lineRule="auto"/>
      </w:pPr>
      <w:r w:rsidRPr="00AA7A77">
        <w:t xml:space="preserve">También se realizan gestiones con diversas dependencias y entidades públicas y privadas para brindar servicios adicionales al abasto en las tiendas comunitarias. Estos servicios son, entre otros, telefonía, servicios financieros, entrega de apoyos de programas federales, estatales y municipales, internet, venta de tiempo aire, buzón de servicio postal mexicano (Sepomex), venta de leche LICONSA subsidiada y comercial, tortillería, molino, cobro de consumo de energía eléctrica, cobro de agua potable, cobro de recibos por consumo de telefonía, venta de alimentos enriquecidos. Cuando en una tienda se ofrecen </w:t>
      </w:r>
      <w:r w:rsidRPr="00AA7A77">
        <w:lastRenderedPageBreak/>
        <w:t xml:space="preserve">por lo menos tres de estos servicios, se le considera como Unidad de Servicio a la Comunidad (USC). Al </w:t>
      </w:r>
      <w:r w:rsidR="002478B2" w:rsidRPr="00AA7A77">
        <w:t>primer</w:t>
      </w:r>
      <w:r w:rsidRPr="00AA7A77">
        <w:t xml:space="preserve"> trimestre de 201</w:t>
      </w:r>
      <w:r w:rsidR="002478B2" w:rsidRPr="00AA7A77">
        <w:t>3</w:t>
      </w:r>
      <w:r w:rsidRPr="00AA7A77">
        <w:t xml:space="preserve"> el 90.</w:t>
      </w:r>
      <w:r w:rsidR="002478B2" w:rsidRPr="00AA7A77">
        <w:t>7</w:t>
      </w:r>
      <w:r w:rsidRPr="00AA7A77">
        <w:t xml:space="preserve"> por ciento de las tiendas funcionaban como Unidades de Servicio a la Comunidad, es </w:t>
      </w:r>
      <w:r w:rsidR="004554EA">
        <w:t>decir que se contaba con 22,</w:t>
      </w:r>
      <w:r w:rsidRPr="00AA7A77">
        <w:t>8</w:t>
      </w:r>
      <w:r w:rsidR="002478B2" w:rsidRPr="00AA7A77">
        <w:t>38</w:t>
      </w:r>
      <w:r w:rsidRPr="00AA7A77">
        <w:t xml:space="preserve"> USC.</w:t>
      </w:r>
    </w:p>
    <w:p w:rsidR="00EF249C" w:rsidRDefault="00EF249C" w:rsidP="00EF249C">
      <w:pPr>
        <w:pStyle w:val="01Fraccion"/>
        <w:spacing w:before="360" w:line="320" w:lineRule="exact"/>
        <w:rPr>
          <w:rFonts w:cs="Times New Roman"/>
          <w:bCs/>
          <w:szCs w:val="26"/>
        </w:rPr>
      </w:pPr>
      <w:r>
        <w:rPr>
          <w:rFonts w:cs="Times New Roman"/>
          <w:bCs/>
          <w:szCs w:val="26"/>
        </w:rPr>
        <w:t>VIII.</w:t>
      </w:r>
      <w:r>
        <w:rPr>
          <w:rFonts w:cs="Times New Roman"/>
          <w:bCs/>
          <w:szCs w:val="26"/>
        </w:rPr>
        <w:tab/>
      </w:r>
      <w:r>
        <w:rPr>
          <w:rFonts w:cs="Times New Roman"/>
          <w:bCs/>
          <w:szCs w:val="26"/>
        </w:rPr>
        <w:tab/>
        <w:t>Prever la temporalidad en su otorgamiento</w:t>
      </w:r>
    </w:p>
    <w:p w:rsidR="00733204" w:rsidRPr="00733204" w:rsidRDefault="00733204" w:rsidP="00733204">
      <w:pPr>
        <w:pStyle w:val="04TextoN"/>
      </w:pPr>
      <w:r w:rsidRPr="00733204">
        <w:t xml:space="preserve">El Programa opera por medio de tiendas y </w:t>
      </w:r>
      <w:r w:rsidR="0065661C">
        <w:t>unidades móviles</w:t>
      </w:r>
      <w:r w:rsidRPr="00733204">
        <w:t xml:space="preserve"> que comercializan productos básicos y complementarios de calidad y con alto valor nutritivo. Se realizan permanentemente estudios sobre la pertinencia de las tiendas y se procede al cierre de las mismas cuando ocurre cualquiera de las siguientes situaciones:</w:t>
      </w:r>
    </w:p>
    <w:p w:rsidR="00733204" w:rsidRPr="00733204" w:rsidRDefault="00733204" w:rsidP="00733204">
      <w:pPr>
        <w:pStyle w:val="04TextoN"/>
        <w:numPr>
          <w:ilvl w:val="0"/>
          <w:numId w:val="1"/>
        </w:numPr>
      </w:pPr>
      <w:r w:rsidRPr="00733204">
        <w:t>Violación de los criterios de funcionamiento de la tienda</w:t>
      </w:r>
      <w:r w:rsidR="0065661C">
        <w:t xml:space="preserve"> establecidos en las Reglas de Operación</w:t>
      </w:r>
      <w:r w:rsidRPr="00733204">
        <w:t>.</w:t>
      </w:r>
    </w:p>
    <w:p w:rsidR="00733204" w:rsidRPr="00733204" w:rsidRDefault="00733204" w:rsidP="00733204">
      <w:pPr>
        <w:pStyle w:val="04TextoN"/>
        <w:numPr>
          <w:ilvl w:val="0"/>
          <w:numId w:val="1"/>
        </w:numPr>
      </w:pPr>
      <w:r w:rsidRPr="00733204">
        <w:t>Desvíos de recursos y daño patrimonial.</w:t>
      </w:r>
    </w:p>
    <w:p w:rsidR="00733204" w:rsidRPr="00733204" w:rsidRDefault="00733204" w:rsidP="00733204">
      <w:pPr>
        <w:pStyle w:val="04TextoN"/>
        <w:numPr>
          <w:ilvl w:val="0"/>
          <w:numId w:val="1"/>
        </w:numPr>
      </w:pPr>
      <w:r w:rsidRPr="00733204">
        <w:t>Uso de los puntos de venta con fines políticos.</w:t>
      </w:r>
    </w:p>
    <w:p w:rsidR="00733204" w:rsidRPr="00733204" w:rsidRDefault="00733204" w:rsidP="00733204">
      <w:pPr>
        <w:pStyle w:val="04TextoN"/>
        <w:numPr>
          <w:ilvl w:val="0"/>
          <w:numId w:val="1"/>
        </w:numPr>
      </w:pPr>
      <w:r w:rsidRPr="00733204">
        <w:t>Nula participación comunitaria.</w:t>
      </w:r>
    </w:p>
    <w:p w:rsidR="00733204" w:rsidRPr="00733204" w:rsidRDefault="00733204" w:rsidP="00733204">
      <w:pPr>
        <w:pStyle w:val="04TextoN"/>
        <w:numPr>
          <w:ilvl w:val="0"/>
          <w:numId w:val="1"/>
        </w:numPr>
      </w:pPr>
      <w:r w:rsidRPr="00733204">
        <w:t>Cuando DICONSA y el Consejo Comunitario de Abasto del almacén que corresponda, determinen que la tienda ya no es necesaria socialmente o es inviable económicamente para la comunidad.</w:t>
      </w:r>
    </w:p>
    <w:p w:rsidR="00733204" w:rsidRPr="00733204" w:rsidRDefault="00733204" w:rsidP="00885894">
      <w:pPr>
        <w:pStyle w:val="04TextoN"/>
        <w:spacing w:before="240" w:after="240" w:line="240" w:lineRule="auto"/>
      </w:pPr>
      <w:r w:rsidRPr="00733204">
        <w:t>Cuando se toma la decisión de cerrar una tienda, un representante de DICONSA informa en Asamblea al Comité Rural de Abasto el motivo del cierre.</w:t>
      </w:r>
    </w:p>
    <w:p w:rsidR="00733204" w:rsidRPr="00733204" w:rsidRDefault="00733204" w:rsidP="00885894">
      <w:pPr>
        <w:pStyle w:val="04TextoN"/>
        <w:spacing w:before="240" w:after="240" w:line="240" w:lineRule="auto"/>
      </w:pPr>
      <w:r w:rsidRPr="00733204">
        <w:t xml:space="preserve">Las tiendas instaladas de acuerdo con normas de DICONSA y Reglas </w:t>
      </w:r>
      <w:r w:rsidR="0065661C">
        <w:t xml:space="preserve">de Operación </w:t>
      </w:r>
      <w:r w:rsidRPr="00733204">
        <w:t>anteriores a las vigentes continúan operando mientras las comunidades requieran de su servicio y cumplan con la normatividad vigente.</w:t>
      </w:r>
    </w:p>
    <w:p w:rsidR="00EF249C" w:rsidRDefault="00EF249C" w:rsidP="00EF249C">
      <w:pPr>
        <w:pStyle w:val="01Fraccion"/>
        <w:spacing w:before="360" w:line="320" w:lineRule="exact"/>
        <w:rPr>
          <w:rFonts w:cs="Times New Roman"/>
          <w:bCs/>
          <w:szCs w:val="26"/>
        </w:rPr>
      </w:pPr>
      <w:r>
        <w:rPr>
          <w:rFonts w:cs="Times New Roman"/>
          <w:bCs/>
          <w:szCs w:val="26"/>
        </w:rPr>
        <w:t>IX.</w:t>
      </w:r>
      <w:r>
        <w:rPr>
          <w:rFonts w:cs="Times New Roman"/>
          <w:bCs/>
          <w:szCs w:val="26"/>
        </w:rPr>
        <w:tab/>
        <w:t>Procurar que sea el medio más eficaz y eficiente para alcanzar los objetivos y metas que se pretenden</w:t>
      </w:r>
    </w:p>
    <w:p w:rsidR="00733204" w:rsidRPr="00DE760D" w:rsidRDefault="00733204" w:rsidP="00DE760D">
      <w:pPr>
        <w:pStyle w:val="03bSubprogra"/>
      </w:pPr>
      <w:r w:rsidRPr="00DE760D">
        <w:t>Avances en el cumplimiento de metas (cuantitativas-presupuestarias y cualitativas)</w:t>
      </w:r>
    </w:p>
    <w:p w:rsidR="00733204" w:rsidRPr="00733204" w:rsidRDefault="00733204" w:rsidP="00733204">
      <w:pPr>
        <w:pStyle w:val="04TextoN"/>
      </w:pPr>
      <w:r w:rsidRPr="00733204">
        <w:t xml:space="preserve">Las metas para el presente ejercicio fiscal son: </w:t>
      </w:r>
    </w:p>
    <w:p w:rsidR="00733204" w:rsidRPr="00AA7A77" w:rsidRDefault="00733204" w:rsidP="00733204">
      <w:pPr>
        <w:pStyle w:val="04TextoN"/>
        <w:numPr>
          <w:ilvl w:val="0"/>
          <w:numId w:val="1"/>
        </w:numPr>
        <w:rPr>
          <w:rFonts w:cstheme="minorBidi"/>
        </w:rPr>
      </w:pPr>
      <w:r w:rsidRPr="002478B2">
        <w:rPr>
          <w:rFonts w:cstheme="minorBidi"/>
        </w:rPr>
        <w:t xml:space="preserve">Número de localidades </w:t>
      </w:r>
      <w:r w:rsidRPr="00AA7A77">
        <w:rPr>
          <w:rFonts w:cstheme="minorBidi"/>
        </w:rPr>
        <w:t>objetivo con tienda comunitaria: 13,</w:t>
      </w:r>
      <w:r w:rsidR="00463055" w:rsidRPr="00AA7A77">
        <w:rPr>
          <w:rFonts w:cstheme="minorBidi"/>
        </w:rPr>
        <w:t>933</w:t>
      </w:r>
      <w:r w:rsidRPr="00AA7A77">
        <w:rPr>
          <w:rFonts w:cstheme="minorBidi"/>
        </w:rPr>
        <w:t>.</w:t>
      </w:r>
    </w:p>
    <w:p w:rsidR="00733204" w:rsidRPr="00AA7A77" w:rsidRDefault="00733204" w:rsidP="00733204">
      <w:pPr>
        <w:pStyle w:val="04TextoN"/>
        <w:numPr>
          <w:ilvl w:val="0"/>
          <w:numId w:val="1"/>
        </w:numPr>
        <w:rPr>
          <w:rFonts w:cstheme="minorBidi"/>
        </w:rPr>
      </w:pPr>
      <w:r w:rsidRPr="00AA7A77">
        <w:rPr>
          <w:rFonts w:cstheme="minorBidi"/>
        </w:rPr>
        <w:t xml:space="preserve">Porcentaje de cobertura de localidades objetivo: </w:t>
      </w:r>
      <w:r w:rsidR="00463055" w:rsidRPr="00AA7A77">
        <w:rPr>
          <w:rFonts w:cstheme="minorBidi"/>
        </w:rPr>
        <w:t>55.0</w:t>
      </w:r>
      <w:r w:rsidRPr="00AA7A77">
        <w:rPr>
          <w:rFonts w:cstheme="minorBidi"/>
        </w:rPr>
        <w:t xml:space="preserve"> por ciento.</w:t>
      </w:r>
    </w:p>
    <w:p w:rsidR="00733204" w:rsidRPr="00AA7A77" w:rsidRDefault="00733204" w:rsidP="00733204">
      <w:pPr>
        <w:pStyle w:val="04TextoN"/>
        <w:numPr>
          <w:ilvl w:val="0"/>
          <w:numId w:val="1"/>
        </w:numPr>
        <w:rPr>
          <w:rFonts w:cstheme="minorBidi"/>
        </w:rPr>
      </w:pPr>
      <w:r w:rsidRPr="00AA7A77">
        <w:rPr>
          <w:rFonts w:cstheme="minorBidi"/>
        </w:rPr>
        <w:t xml:space="preserve">Número de tiendas integradas como Unidades de Servicio a la Comunidad: </w:t>
      </w:r>
      <w:r w:rsidR="002478B2" w:rsidRPr="00AA7A77">
        <w:rPr>
          <w:rFonts w:cstheme="minorBidi"/>
        </w:rPr>
        <w:t>23,</w:t>
      </w:r>
      <w:r w:rsidR="00463055" w:rsidRPr="00AA7A77">
        <w:rPr>
          <w:rFonts w:cstheme="minorBidi"/>
        </w:rPr>
        <w:t>896</w:t>
      </w:r>
    </w:p>
    <w:p w:rsidR="00733204" w:rsidRPr="00AA7A77" w:rsidRDefault="00733204" w:rsidP="00733204">
      <w:pPr>
        <w:pStyle w:val="04TextoN"/>
        <w:numPr>
          <w:ilvl w:val="0"/>
          <w:numId w:val="1"/>
        </w:numPr>
      </w:pPr>
      <w:r w:rsidRPr="00AA7A77">
        <w:rPr>
          <w:rFonts w:cstheme="minorBidi"/>
        </w:rPr>
        <w:t xml:space="preserve">Porcentaje de tiendas integradas como Unidades de Servicio a la Comunidad: </w:t>
      </w:r>
      <w:r w:rsidR="00463055" w:rsidRPr="00AA7A77">
        <w:rPr>
          <w:rFonts w:cstheme="minorBidi"/>
        </w:rPr>
        <w:t>90.8</w:t>
      </w:r>
      <w:r w:rsidRPr="00AA7A77">
        <w:rPr>
          <w:rFonts w:cstheme="minorBidi"/>
        </w:rPr>
        <w:t xml:space="preserve"> por ciento</w:t>
      </w:r>
      <w:r w:rsidRPr="00AA7A77">
        <w:t>.</w:t>
      </w:r>
    </w:p>
    <w:p w:rsidR="00733204" w:rsidRDefault="00733204" w:rsidP="00885894">
      <w:pPr>
        <w:pStyle w:val="04TextoN"/>
        <w:spacing w:before="240" w:after="240"/>
      </w:pPr>
      <w:r w:rsidRPr="00AA7A77">
        <w:t>Cabe señalar que el número de localidades objetivo para 201</w:t>
      </w:r>
      <w:r w:rsidR="002478B2" w:rsidRPr="00AA7A77">
        <w:t>3</w:t>
      </w:r>
      <w:r w:rsidRPr="00AA7A77">
        <w:t xml:space="preserve"> se definió considerando la información disponible del Conteo INEGI 2010 y grados de marginación de CONAPO 2010 a nivel localidad, con lo cual se determinó que las localidades objetivo de alta o muy alta marginación, con rango de población entre 200 y 2</w:t>
      </w:r>
      <w:r w:rsidR="00786AB4">
        <w:t>,</w:t>
      </w:r>
      <w:r w:rsidRPr="00AA7A77">
        <w:t>500 habitantes ascienden a 25</w:t>
      </w:r>
      <w:r w:rsidR="00786AB4">
        <w:t>,</w:t>
      </w:r>
      <w:r w:rsidRPr="00AA7A77">
        <w:t>325. Con base en este universo total de localidades objetivo se establecieron las metas a alcanzar para 201</w:t>
      </w:r>
      <w:r w:rsidR="0016378E" w:rsidRPr="00AA7A77">
        <w:t>3</w:t>
      </w:r>
      <w:r w:rsidRPr="00AA7A77">
        <w:t>.</w:t>
      </w:r>
    </w:p>
    <w:p w:rsidR="00733204" w:rsidRPr="00733204" w:rsidRDefault="00733204" w:rsidP="007D0B7F">
      <w:pPr>
        <w:pStyle w:val="04TextoN"/>
        <w:spacing w:before="240" w:after="240" w:line="240" w:lineRule="auto"/>
      </w:pPr>
      <w:r w:rsidRPr="00733204">
        <w:t xml:space="preserve">Las cifras alcanzadas al </w:t>
      </w:r>
      <w:r w:rsidR="0016378E">
        <w:t>primer</w:t>
      </w:r>
      <w:r w:rsidRPr="00733204">
        <w:t xml:space="preserve"> trimestre de 201</w:t>
      </w:r>
      <w:r w:rsidR="0016378E">
        <w:t>3</w:t>
      </w:r>
      <w:r w:rsidRPr="00733204">
        <w:t xml:space="preserve"> son:</w:t>
      </w:r>
    </w:p>
    <w:p w:rsidR="00733204" w:rsidRPr="00AA7A77" w:rsidRDefault="00733204" w:rsidP="007D0B7F">
      <w:pPr>
        <w:pStyle w:val="04TextoN"/>
        <w:numPr>
          <w:ilvl w:val="0"/>
          <w:numId w:val="1"/>
        </w:numPr>
        <w:spacing w:line="240" w:lineRule="auto"/>
      </w:pPr>
      <w:r w:rsidRPr="00733204">
        <w:lastRenderedPageBreak/>
        <w:t xml:space="preserve">Cobertura de localidades </w:t>
      </w:r>
      <w:r w:rsidRPr="00AA7A77">
        <w:t>objetivo: 13</w:t>
      </w:r>
      <w:r w:rsidR="00786AB4">
        <w:t>,</w:t>
      </w:r>
      <w:r w:rsidR="0016378E" w:rsidRPr="00AA7A77">
        <w:t>564</w:t>
      </w:r>
      <w:r w:rsidRPr="00AA7A77">
        <w:t>.</w:t>
      </w:r>
    </w:p>
    <w:p w:rsidR="00733204" w:rsidRPr="00733204" w:rsidRDefault="00733204" w:rsidP="00733204">
      <w:pPr>
        <w:pStyle w:val="04TextoN"/>
        <w:numPr>
          <w:ilvl w:val="0"/>
          <w:numId w:val="1"/>
        </w:numPr>
      </w:pPr>
      <w:r w:rsidRPr="00733204">
        <w:t xml:space="preserve">Porcentaje de cobertura de localidades objetivo: </w:t>
      </w:r>
      <w:r w:rsidR="00D4104C">
        <w:t>53.8</w:t>
      </w:r>
      <w:r w:rsidRPr="00733204">
        <w:t xml:space="preserve"> por ciento.</w:t>
      </w:r>
    </w:p>
    <w:p w:rsidR="00733204" w:rsidRPr="00AA7A77" w:rsidRDefault="00733204" w:rsidP="00733204">
      <w:pPr>
        <w:pStyle w:val="04TextoN"/>
        <w:numPr>
          <w:ilvl w:val="0"/>
          <w:numId w:val="1"/>
        </w:numPr>
      </w:pPr>
      <w:r w:rsidRPr="00733204">
        <w:t>Unidades de Servicio a la Comunidad</w:t>
      </w:r>
      <w:r w:rsidRPr="00AA7A77">
        <w:t>: 22</w:t>
      </w:r>
      <w:r w:rsidR="00786AB4">
        <w:t>,</w:t>
      </w:r>
      <w:r w:rsidRPr="00AA7A77">
        <w:t>8</w:t>
      </w:r>
      <w:r w:rsidR="0016378E" w:rsidRPr="00AA7A77">
        <w:t>38</w:t>
      </w:r>
      <w:r w:rsidRPr="00AA7A77">
        <w:t>.</w:t>
      </w:r>
    </w:p>
    <w:p w:rsidR="00733204" w:rsidRPr="00733204" w:rsidRDefault="00733204" w:rsidP="00733204">
      <w:pPr>
        <w:pStyle w:val="04TextoN"/>
        <w:numPr>
          <w:ilvl w:val="0"/>
          <w:numId w:val="1"/>
        </w:numPr>
      </w:pPr>
      <w:r w:rsidRPr="00AA7A77">
        <w:t>Porcentaje de tiendas integradas como Unidades de Servicio a la Comunidad: 90.</w:t>
      </w:r>
      <w:r w:rsidR="0016378E" w:rsidRPr="00AA7A77">
        <w:t>7</w:t>
      </w:r>
      <w:r w:rsidRPr="00AA7A77">
        <w:t xml:space="preserve"> por</w:t>
      </w:r>
      <w:r w:rsidRPr="00733204">
        <w:t xml:space="preserve"> ciento.</w:t>
      </w:r>
    </w:p>
    <w:p w:rsidR="00733204" w:rsidRPr="00DE760D" w:rsidRDefault="00733204" w:rsidP="00DE760D">
      <w:pPr>
        <w:pStyle w:val="03bSubprogra"/>
      </w:pPr>
      <w:r w:rsidRPr="00DE760D">
        <w:t>Acciones desarrolladas para alcanzar los objetivos</w:t>
      </w:r>
    </w:p>
    <w:p w:rsidR="00733204" w:rsidRPr="002F1CD9" w:rsidRDefault="00733204" w:rsidP="00885894">
      <w:pPr>
        <w:pStyle w:val="03ST"/>
      </w:pPr>
      <w:r w:rsidRPr="002F1CD9">
        <w:t>Localidades Objetivo con Tienda y Cobertura de Localidades</w:t>
      </w:r>
    </w:p>
    <w:p w:rsidR="00733204" w:rsidRPr="00733204" w:rsidRDefault="00733204" w:rsidP="00885894">
      <w:pPr>
        <w:pStyle w:val="04TextoN"/>
        <w:spacing w:before="240" w:after="240"/>
      </w:pPr>
      <w:r w:rsidRPr="00733204">
        <w:t xml:space="preserve">La promoción para la apertura de tiendas se hace con base en el listado de las localidades objetivo no atendidas, en las cuales la difusión del Programa se efectúa a través de asambleas informativas. </w:t>
      </w:r>
    </w:p>
    <w:p w:rsidR="00733204" w:rsidRPr="00733204" w:rsidRDefault="00733204" w:rsidP="00885894">
      <w:pPr>
        <w:pStyle w:val="04TextoN"/>
        <w:spacing w:before="240" w:after="240"/>
      </w:pPr>
      <w:r w:rsidRPr="00733204">
        <w:t xml:space="preserve">Para determinar la pertinencia de la apertura de una tienda, DICONSA verifica el cumplimiento de las características de población y marginación en la localidad solicitante y en caso de cumplirlas el personal de la entidad realiza una visita a dicha localidad para </w:t>
      </w:r>
      <w:r w:rsidR="006F25DF">
        <w:t>determinar</w:t>
      </w:r>
      <w:r w:rsidRPr="00733204">
        <w:t xml:space="preserve"> si en ella existe </w:t>
      </w:r>
      <w:r w:rsidR="006F25DF" w:rsidRPr="006F25DF">
        <w:t>Abasto Local Suficiente y Adecuado de los productos de la Canasta Básica Diconsa</w:t>
      </w:r>
      <w:r w:rsidR="00A90009">
        <w:t>.</w:t>
      </w:r>
      <w:r w:rsidR="006F25DF" w:rsidRPr="006F25DF">
        <w:t xml:space="preserve"> </w:t>
      </w:r>
      <w:r w:rsidRPr="00733204">
        <w:t xml:space="preserve">En caso de que no exista disponibilidad de alguno de los productos de dicha canasta, </w:t>
      </w:r>
      <w:r w:rsidR="006F25DF" w:rsidRPr="006F25DF">
        <w:t xml:space="preserve">o se determine que Diconsa puede otorgar a los beneficiaros el margen de ahorro establecido </w:t>
      </w:r>
      <w:r w:rsidR="006F25DF">
        <w:t xml:space="preserve">en las Reglas de Operación, </w:t>
      </w:r>
      <w:r w:rsidRPr="00733204">
        <w:t>el personal de la entidad elabora un estudio socioeconómico de la localidad con base en la cual se determina la demanda social y se define la cantidad y mezcla de productos para abastecer a la tienda.</w:t>
      </w:r>
    </w:p>
    <w:p w:rsidR="00733204" w:rsidRPr="00733204" w:rsidRDefault="00733204" w:rsidP="00A90009">
      <w:pPr>
        <w:pStyle w:val="04TextoN"/>
        <w:spacing w:before="240" w:after="240"/>
      </w:pPr>
      <w:r w:rsidRPr="00733204">
        <w:t xml:space="preserve">Otra acción que se realiza para alcanzar los objetivos y metas del Programa es llevar el abasto a quienes presentan problemática de desabasto pero que carecen de tienda comunitaria, a través de Tiendas Móviles. Al cierre </w:t>
      </w:r>
      <w:r w:rsidRPr="00AA7A77">
        <w:t xml:space="preserve">del </w:t>
      </w:r>
      <w:r w:rsidR="00A90009" w:rsidRPr="00AA7A77">
        <w:t>primer</w:t>
      </w:r>
      <w:r w:rsidRPr="00AA7A77">
        <w:t xml:space="preserve"> trimestre de 201</w:t>
      </w:r>
      <w:r w:rsidR="00A90009" w:rsidRPr="00AA7A77">
        <w:t>3</w:t>
      </w:r>
      <w:r w:rsidRPr="00AA7A77">
        <w:t xml:space="preserve"> existen 16</w:t>
      </w:r>
      <w:r w:rsidR="00D4104C">
        <w:t>3</w:t>
      </w:r>
      <w:r w:rsidRPr="00AA7A77">
        <w:t xml:space="preserve"> tiendas</w:t>
      </w:r>
      <w:r w:rsidRPr="00733204">
        <w:t xml:space="preserve"> móviles en operación. </w:t>
      </w:r>
    </w:p>
    <w:p w:rsidR="00733204" w:rsidRPr="006F25DF" w:rsidRDefault="00733204" w:rsidP="00A90009">
      <w:pPr>
        <w:pStyle w:val="03ST"/>
        <w:spacing w:after="240"/>
      </w:pPr>
      <w:r w:rsidRPr="006F25DF">
        <w:t>Unidades de Servicio a la Comunidad y Porcentaje de Tiendas Integradas como Unidades de Servicio a la Comunidad</w:t>
      </w:r>
    </w:p>
    <w:p w:rsidR="00733204" w:rsidRPr="00733204" w:rsidRDefault="00733204" w:rsidP="00733204">
      <w:pPr>
        <w:pStyle w:val="04TextoN"/>
      </w:pPr>
      <w:r w:rsidRPr="00733204">
        <w:t xml:space="preserve">Las gestiones realizadas con diversas dependencias y entidades públicas y privadas para brindar servicios adicionales al abasto en las tiendas comunitarias, han dado como resultado que DICONSA pueda proporcionar: telefonía, servicios financieros, entrega de apoyos de programas federales internet, venta de tiempo aire, buzón de Sepomex, venta de leche LICONSA subsidiada y comercial, tortillería, molino, cobro de consumo de energía eléctrica, cobro de agua potable, cobro de recibos por consumo de </w:t>
      </w:r>
      <w:r w:rsidRPr="00AA7A77">
        <w:t xml:space="preserve">telefonía, venta de alimentos enriquecidos, entre otros, por lo cual el porcentaje de tiendas que al cierre del </w:t>
      </w:r>
      <w:r w:rsidR="006F25DF" w:rsidRPr="00AA7A77">
        <w:t>primer trimestre de 2013</w:t>
      </w:r>
      <w:r w:rsidRPr="00AA7A77">
        <w:t xml:space="preserve"> funcionan como Unidades de Servicio a la Comunidad asciende a 90.</w:t>
      </w:r>
      <w:r w:rsidR="006F25DF" w:rsidRPr="00AA7A77">
        <w:t>7</w:t>
      </w:r>
      <w:r w:rsidRPr="00AA7A77">
        <w:t xml:space="preserve"> por ciento.</w:t>
      </w:r>
    </w:p>
    <w:p w:rsidR="00733204" w:rsidRPr="006F25DF" w:rsidRDefault="00733204" w:rsidP="00885894">
      <w:pPr>
        <w:pStyle w:val="03ST"/>
      </w:pPr>
      <w:r w:rsidRPr="006F25DF">
        <w:t>Productos Enriquecidos</w:t>
      </w:r>
    </w:p>
    <w:p w:rsidR="00733204" w:rsidRPr="007F6676" w:rsidRDefault="00733204" w:rsidP="00733204">
      <w:pPr>
        <w:pStyle w:val="04TextoN"/>
      </w:pPr>
      <w:r w:rsidRPr="00AA7A77">
        <w:t>Con objeto de contribuir a</w:t>
      </w:r>
      <w:r w:rsidR="00BF25C3" w:rsidRPr="00AA7A77">
        <w:t xml:space="preserve"> </w:t>
      </w:r>
      <w:r w:rsidRPr="00AA7A77">
        <w:t>l</w:t>
      </w:r>
      <w:r w:rsidR="00BF25C3" w:rsidRPr="00AA7A77">
        <w:t xml:space="preserve">a seguridad alimentaria </w:t>
      </w:r>
      <w:r w:rsidR="007F6676" w:rsidRPr="00AA7A77">
        <w:t xml:space="preserve">y al </w:t>
      </w:r>
      <w:r w:rsidRPr="00AA7A77">
        <w:t xml:space="preserve">desarrollo de capacidades básicas mejorando la nutrición de la población, durante el </w:t>
      </w:r>
      <w:r w:rsidR="00BF25C3" w:rsidRPr="00AA7A77">
        <w:t>primer</w:t>
      </w:r>
      <w:r w:rsidRPr="00AA7A77">
        <w:t xml:space="preserve"> trimestre de 201</w:t>
      </w:r>
      <w:r w:rsidR="00BF25C3" w:rsidRPr="00AA7A77">
        <w:t>3</w:t>
      </w:r>
      <w:r w:rsidRPr="00AA7A77">
        <w:t xml:space="preserve">, el </w:t>
      </w:r>
      <w:r w:rsidR="00BF25C3" w:rsidRPr="00AA7A77">
        <w:t>56.2</w:t>
      </w:r>
      <w:r w:rsidRPr="00AA7A77">
        <w:t xml:space="preserve"> por</w:t>
      </w:r>
      <w:r w:rsidRPr="007F6676">
        <w:t xml:space="preserve"> ciento de las compras de abarrotes comestibles del Programa de Abasto Rural que se abastecieron en las tiendas DICONSA correspondieron a alimentos enriquecidos con vitaminas y/o minerales y/o proteínas. Lo anterior benefició  directamente la calidad de vida de la población atendida y que consume dichos productos, al ofrecerles productos de alto valor nutritivo.</w:t>
      </w:r>
    </w:p>
    <w:p w:rsidR="00733204" w:rsidRPr="00145FC0" w:rsidRDefault="00733204" w:rsidP="00733204">
      <w:pPr>
        <w:pStyle w:val="04TextoN"/>
      </w:pPr>
      <w:r w:rsidRPr="00145FC0">
        <w:t xml:space="preserve">Desde agosto de 2007 DICONSA comercializa la harina de maíz de marca propia “Mi Masa”, que está enriquecida con proteínas, vitaminas y minerales y cuyo precio de venta al público en las comunidades </w:t>
      </w:r>
      <w:r w:rsidRPr="00145FC0">
        <w:lastRenderedPageBreak/>
        <w:t xml:space="preserve">rurales significó en promedio un ahorro para el beneficiario del </w:t>
      </w:r>
      <w:r w:rsidR="00BF25C3" w:rsidRPr="00AA7A77">
        <w:t>39.7</w:t>
      </w:r>
      <w:r w:rsidRPr="00AA7A77">
        <w:t xml:space="preserve"> por</w:t>
      </w:r>
      <w:r w:rsidRPr="00145FC0">
        <w:t xml:space="preserve"> ciento </w:t>
      </w:r>
      <w:r w:rsidR="00BF25C3" w:rsidRPr="00145FC0">
        <w:t>en lo que va del año</w:t>
      </w:r>
      <w:r w:rsidRPr="00145FC0">
        <w:t xml:space="preserve">, ello en comparación con los precios de las marcas comerciales de harina de maíz. </w:t>
      </w:r>
    </w:p>
    <w:p w:rsidR="00733204" w:rsidRPr="00733204" w:rsidRDefault="00733204" w:rsidP="00145FC0">
      <w:pPr>
        <w:pStyle w:val="04TextoN"/>
        <w:spacing w:before="240" w:after="240"/>
      </w:pPr>
      <w:r w:rsidRPr="00145FC0">
        <w:t>Asimismo, a partir de mayo de 2009 DICONSA oferta en las tiendas comunitarias</w:t>
      </w:r>
      <w:r w:rsidR="00145FC0">
        <w:t xml:space="preserve"> y unidades móviles</w:t>
      </w:r>
      <w:r w:rsidRPr="00145FC0">
        <w:t xml:space="preserve"> otros productos de marca propia como pasta para sopa enriquecida y fortificada y chocolate en polvo, ofreciendo al consumidor rural de escasos recursos artículos de mayor calidad y de menor precio.</w:t>
      </w:r>
    </w:p>
    <w:p w:rsidR="00733204" w:rsidRPr="00733204" w:rsidRDefault="00733204" w:rsidP="00145FC0">
      <w:pPr>
        <w:pStyle w:val="04TextoN"/>
        <w:spacing w:before="240" w:after="240"/>
      </w:pPr>
      <w:r w:rsidRPr="00733204">
        <w:t xml:space="preserve">En este sentido cabe destacar lo siguiente: </w:t>
      </w:r>
    </w:p>
    <w:p w:rsidR="00733204" w:rsidRPr="00733204" w:rsidRDefault="00733204" w:rsidP="00733204">
      <w:pPr>
        <w:pStyle w:val="04TextoN"/>
      </w:pPr>
      <w:r w:rsidRPr="00733204">
        <w:t xml:space="preserve">La formulación de la harina de maíz marca propia “Mi Masa” fue elaborada y aprobada por el Instituto Nacional de Ciencias Médicas y Nutrición “Salvador Zubirán” y contiene ácido fólico, hierro, zinc, vitamina “A” y harina de soya. Esta harina tiene las siguientes ventajas: </w:t>
      </w:r>
    </w:p>
    <w:p w:rsidR="00733204" w:rsidRPr="00733204" w:rsidRDefault="00733204" w:rsidP="00733204">
      <w:pPr>
        <w:pStyle w:val="04TextoN"/>
        <w:numPr>
          <w:ilvl w:val="0"/>
          <w:numId w:val="1"/>
        </w:numPr>
      </w:pPr>
      <w:r w:rsidRPr="00733204">
        <w:t xml:space="preserve">Contribuye a disminuir la anemia y la desnutrición en los niños. </w:t>
      </w:r>
    </w:p>
    <w:p w:rsidR="00733204" w:rsidRPr="00733204" w:rsidRDefault="00733204" w:rsidP="00733204">
      <w:pPr>
        <w:pStyle w:val="04TextoN"/>
        <w:numPr>
          <w:ilvl w:val="0"/>
          <w:numId w:val="1"/>
        </w:numPr>
      </w:pPr>
      <w:r w:rsidRPr="00733204">
        <w:t>Disminuye la propensión a las enfermedades y al mismo tiempo fortalece a las mujeres que se encuentran embarazadas o en la etapa de lactancia.</w:t>
      </w:r>
    </w:p>
    <w:p w:rsidR="00733204" w:rsidRPr="00733204" w:rsidRDefault="00733204" w:rsidP="00733204">
      <w:pPr>
        <w:pStyle w:val="04TextoN"/>
        <w:numPr>
          <w:ilvl w:val="0"/>
          <w:numId w:val="1"/>
        </w:numPr>
      </w:pPr>
      <w:r w:rsidRPr="00733204">
        <w:t xml:space="preserve">Con la venta de este producto se favorece el mejoramiento nutricional de la población rural que atiende DICONSA. </w:t>
      </w:r>
    </w:p>
    <w:p w:rsidR="00733204" w:rsidRPr="00AA7A77" w:rsidRDefault="00733204" w:rsidP="00145FC0">
      <w:pPr>
        <w:pStyle w:val="04TextoN"/>
        <w:spacing w:before="240" w:after="240"/>
      </w:pPr>
      <w:r w:rsidRPr="00733204">
        <w:t xml:space="preserve">En el </w:t>
      </w:r>
      <w:r w:rsidRPr="00AA7A77">
        <w:t>periodo enero-</w:t>
      </w:r>
      <w:r w:rsidR="00145FC0" w:rsidRPr="00AA7A77">
        <w:t>marzo</w:t>
      </w:r>
      <w:r w:rsidRPr="00AA7A77">
        <w:t xml:space="preserve"> de 201</w:t>
      </w:r>
      <w:r w:rsidR="00145FC0" w:rsidRPr="00AA7A77">
        <w:t>3</w:t>
      </w:r>
      <w:r w:rsidRPr="00AA7A77">
        <w:t xml:space="preserve"> la venta de harina de maíz de las diferentes marcas ofrecidas en las tiendas DICONSA fue de </w:t>
      </w:r>
      <w:r w:rsidR="00145FC0" w:rsidRPr="00AA7A77">
        <w:t>16</w:t>
      </w:r>
      <w:r w:rsidR="00786AB4">
        <w:t>,</w:t>
      </w:r>
      <w:r w:rsidR="00145FC0" w:rsidRPr="00AA7A77">
        <w:t>750</w:t>
      </w:r>
      <w:r w:rsidRPr="00AA7A77">
        <w:t xml:space="preserve"> toneladas; de las cuales, la participación de la harina marca propia “Mi Masa” fue de 7</w:t>
      </w:r>
      <w:r w:rsidR="00786AB4">
        <w:t>,</w:t>
      </w:r>
      <w:r w:rsidR="00145FC0" w:rsidRPr="00AA7A77">
        <w:t>666</w:t>
      </w:r>
      <w:r w:rsidRPr="00AA7A77">
        <w:t xml:space="preserve"> toneladas, lo que representó el </w:t>
      </w:r>
      <w:r w:rsidR="00145FC0" w:rsidRPr="00AA7A77">
        <w:t>45.8</w:t>
      </w:r>
      <w:r w:rsidRPr="00AA7A77">
        <w:t xml:space="preserve"> por ciento de dichas ventas.</w:t>
      </w:r>
    </w:p>
    <w:p w:rsidR="00733204" w:rsidRPr="00AA7A77" w:rsidRDefault="00733204" w:rsidP="00145FC0">
      <w:pPr>
        <w:pStyle w:val="04TextoN"/>
        <w:spacing w:before="240" w:after="240"/>
      </w:pPr>
      <w:r w:rsidRPr="00AA7A77">
        <w:t xml:space="preserve">Asimismo, desde abril de 2009 se comercializa en las tiendas comunitarias la pasta para sopa fortificada de marca propia “Mi Sopa”, también formulada por el Instituto Nacional de Ciencias Médicas y Nutrición “Salvador Zubirán”. Este producto está enriquecido con ácido fólico, vitaminas, minerales como zinc, hierro y proteína de soya. Su participación en las ventas a </w:t>
      </w:r>
      <w:r w:rsidR="00FB381A" w:rsidRPr="00AA7A77">
        <w:t>marzo</w:t>
      </w:r>
      <w:r w:rsidRPr="00AA7A77">
        <w:t xml:space="preserve"> de 201</w:t>
      </w:r>
      <w:r w:rsidR="00FB381A" w:rsidRPr="00AA7A77">
        <w:t>3</w:t>
      </w:r>
      <w:r w:rsidRPr="00AA7A77">
        <w:t xml:space="preserve"> fue de </w:t>
      </w:r>
      <w:r w:rsidR="00FB381A" w:rsidRPr="00AA7A77">
        <w:t>4.0</w:t>
      </w:r>
      <w:r w:rsidRPr="00AA7A77">
        <w:t xml:space="preserve"> por ciento, es decir </w:t>
      </w:r>
      <w:r w:rsidR="00FB381A" w:rsidRPr="00AA7A77">
        <w:t>41</w:t>
      </w:r>
      <w:r w:rsidRPr="00AA7A77">
        <w:t xml:space="preserve"> toneladas de las </w:t>
      </w:r>
      <w:r w:rsidR="00FB381A" w:rsidRPr="00AA7A77">
        <w:t>1,020</w:t>
      </w:r>
      <w:r w:rsidRPr="00AA7A77">
        <w:t xml:space="preserve"> toneladas vendidas de pasta para sopa.</w:t>
      </w:r>
    </w:p>
    <w:p w:rsidR="00733204" w:rsidRPr="00733204" w:rsidRDefault="00733204" w:rsidP="00FB381A">
      <w:pPr>
        <w:pStyle w:val="04TextoN"/>
        <w:spacing w:before="240" w:after="240"/>
      </w:pPr>
      <w:r w:rsidRPr="00AA7A77">
        <w:t xml:space="preserve">En lo referente al chocolate en polvo marca propia, las ventas </w:t>
      </w:r>
      <w:r w:rsidR="00FB381A" w:rsidRPr="00AA7A77">
        <w:t>a marzo de 2013</w:t>
      </w:r>
      <w:r w:rsidRPr="00AA7A77">
        <w:t xml:space="preserve"> representaron el </w:t>
      </w:r>
      <w:r w:rsidR="00FB381A" w:rsidRPr="00AA7A77">
        <w:t>31.4</w:t>
      </w:r>
      <w:r w:rsidRPr="00AA7A77">
        <w:t xml:space="preserve"> por ciento con respecto a</w:t>
      </w:r>
      <w:r w:rsidR="00FB381A" w:rsidRPr="00AA7A77">
        <w:t xml:space="preserve"> las ventas totales, es decir, 58</w:t>
      </w:r>
      <w:r w:rsidRPr="00AA7A77">
        <w:t xml:space="preserve"> toneladas de las </w:t>
      </w:r>
      <w:r w:rsidR="00FB381A" w:rsidRPr="00AA7A77">
        <w:t>185</w:t>
      </w:r>
      <w:r w:rsidRPr="00AA7A77">
        <w:t xml:space="preserve"> toneladas vendidas de este producto por DICONSA.</w:t>
      </w:r>
    </w:p>
    <w:p w:rsidR="00733204" w:rsidRPr="00FB381A" w:rsidRDefault="00733204" w:rsidP="00FB381A">
      <w:pPr>
        <w:pStyle w:val="03ST"/>
      </w:pPr>
      <w:r w:rsidRPr="00733204">
        <w:t>Oportunidad en el surtimiento por parte de los almacenes rurales</w:t>
      </w:r>
    </w:p>
    <w:p w:rsidR="00733204" w:rsidRPr="00733204" w:rsidRDefault="00733204" w:rsidP="00733204">
      <w:pPr>
        <w:pStyle w:val="04TextoN"/>
      </w:pPr>
      <w:r w:rsidRPr="00733204">
        <w:t xml:space="preserve">Este indicador mide la oportunidad con la que se realiza el surtimiento en su día respecto al número de pedidos realizados por las tiendas y tiene una periodicidad semestral.  </w:t>
      </w:r>
      <w:r w:rsidRPr="00AA7A77">
        <w:t xml:space="preserve">A </w:t>
      </w:r>
      <w:r w:rsidR="00FB381A" w:rsidRPr="00AA7A77">
        <w:t>marzo</w:t>
      </w:r>
      <w:r w:rsidRPr="00AA7A77">
        <w:t xml:space="preserve"> de 201</w:t>
      </w:r>
      <w:r w:rsidR="00FB381A" w:rsidRPr="00AA7A77">
        <w:t>3</w:t>
      </w:r>
      <w:r w:rsidRPr="00AA7A77">
        <w:t xml:space="preserve"> se</w:t>
      </w:r>
      <w:r w:rsidRPr="00733204">
        <w:t xml:space="preserve"> registra un </w:t>
      </w:r>
      <w:r w:rsidR="00D4104C">
        <w:t>21.8</w:t>
      </w:r>
      <w:r w:rsidRPr="00733204">
        <w:t xml:space="preserve">% de oportunidad en el surtimiento. </w:t>
      </w:r>
    </w:p>
    <w:p w:rsidR="00733204" w:rsidRDefault="00733204" w:rsidP="00733204">
      <w:pPr>
        <w:pStyle w:val="04TextoN"/>
      </w:pPr>
      <w:r w:rsidRPr="00733204">
        <w:br w:type="page"/>
      </w:r>
    </w:p>
    <w:tbl>
      <w:tblPr>
        <w:tblStyle w:val="Tablarosa"/>
        <w:tblW w:w="0" w:type="auto"/>
        <w:jc w:val="center"/>
        <w:tblLook w:val="04A0" w:firstRow="1" w:lastRow="0" w:firstColumn="1" w:lastColumn="0" w:noHBand="0" w:noVBand="1"/>
      </w:tblPr>
      <w:tblGrid>
        <w:gridCol w:w="534"/>
        <w:gridCol w:w="1731"/>
        <w:gridCol w:w="2583"/>
      </w:tblGrid>
      <w:tr w:rsidR="00733204" w:rsidRPr="00265B51" w:rsidTr="00C4602E">
        <w:trPr>
          <w:cnfStyle w:val="100000000000" w:firstRow="1" w:lastRow="0" w:firstColumn="0" w:lastColumn="0" w:oddVBand="0" w:evenVBand="0" w:oddHBand="0" w:evenHBand="0" w:firstRowFirstColumn="0" w:firstRowLastColumn="0" w:lastRowFirstColumn="0" w:lastRowLastColumn="0"/>
          <w:trHeight w:val="288"/>
          <w:jc w:val="center"/>
        </w:trPr>
        <w:tc>
          <w:tcPr>
            <w:tcW w:w="4848" w:type="dxa"/>
            <w:gridSpan w:val="3"/>
            <w:noWrap/>
            <w:hideMark/>
          </w:tcPr>
          <w:p w:rsidR="00733204" w:rsidRPr="00265B51" w:rsidRDefault="00733204" w:rsidP="00D20B22">
            <w:pPr>
              <w:pStyle w:val="09Tablaencabezado"/>
            </w:pPr>
            <w:r w:rsidRPr="00265B51">
              <w:lastRenderedPageBreak/>
              <w:t xml:space="preserve">NÚMERO DE TIENDAS POR ENTIDAD FEDERATIVA A </w:t>
            </w:r>
            <w:r w:rsidR="00D20B22">
              <w:t>MARZO</w:t>
            </w:r>
            <w:r w:rsidRPr="00D20B22">
              <w:t xml:space="preserve"> DE 201</w:t>
            </w:r>
            <w:r w:rsidR="00D20B22">
              <w:t>3</w:t>
            </w:r>
          </w:p>
        </w:tc>
      </w:tr>
      <w:tr w:rsidR="00733204" w:rsidRPr="00265B51" w:rsidTr="00C4602E">
        <w:trPr>
          <w:cnfStyle w:val="000000100000" w:firstRow="0" w:lastRow="0" w:firstColumn="0" w:lastColumn="0" w:oddVBand="0" w:evenVBand="0" w:oddHBand="1" w:evenHBand="0" w:firstRowFirstColumn="0" w:firstRowLastColumn="0" w:lastRowFirstColumn="0" w:lastRowLastColumn="0"/>
          <w:trHeight w:val="288"/>
          <w:jc w:val="center"/>
        </w:trPr>
        <w:tc>
          <w:tcPr>
            <w:tcW w:w="2265" w:type="dxa"/>
            <w:gridSpan w:val="2"/>
            <w:noWrap/>
            <w:hideMark/>
          </w:tcPr>
          <w:p w:rsidR="00733204" w:rsidRPr="00265B51" w:rsidRDefault="00733204" w:rsidP="00C4602E">
            <w:pPr>
              <w:pStyle w:val="09Tablaencabezado"/>
            </w:pPr>
            <w:r w:rsidRPr="00265B51">
              <w:t>Estado</w:t>
            </w:r>
          </w:p>
        </w:tc>
        <w:tc>
          <w:tcPr>
            <w:tcW w:w="2583" w:type="dxa"/>
            <w:noWrap/>
            <w:hideMark/>
          </w:tcPr>
          <w:p w:rsidR="00733204" w:rsidRPr="00265B51" w:rsidRDefault="00733204" w:rsidP="00C4602E">
            <w:pPr>
              <w:pStyle w:val="09Tablaencabezado"/>
            </w:pPr>
            <w:r w:rsidRPr="00265B51">
              <w:t>Tiendas</w:t>
            </w:r>
          </w:p>
        </w:tc>
      </w:tr>
      <w:tr w:rsidR="00D20B22" w:rsidRPr="00AA7A77" w:rsidTr="00002E67">
        <w:trPr>
          <w:cnfStyle w:val="000000010000" w:firstRow="0" w:lastRow="0" w:firstColumn="0" w:lastColumn="0" w:oddVBand="0" w:evenVBand="0" w:oddHBand="0" w:evenHBand="1" w:firstRowFirstColumn="0" w:firstRowLastColumn="0" w:lastRowFirstColumn="0" w:lastRowLastColumn="0"/>
          <w:trHeight w:val="199"/>
          <w:jc w:val="center"/>
        </w:trPr>
        <w:tc>
          <w:tcPr>
            <w:tcW w:w="534" w:type="dxa"/>
            <w:noWrap/>
            <w:hideMark/>
          </w:tcPr>
          <w:p w:rsidR="00D20B22" w:rsidRPr="00265B51" w:rsidRDefault="00D20B22" w:rsidP="00D20B22">
            <w:pPr>
              <w:pStyle w:val="09Tablatextocentrado"/>
            </w:pPr>
            <w:r w:rsidRPr="00265B51">
              <w:t>1</w:t>
            </w:r>
          </w:p>
        </w:tc>
        <w:tc>
          <w:tcPr>
            <w:tcW w:w="1731" w:type="dxa"/>
            <w:noWrap/>
            <w:hideMark/>
          </w:tcPr>
          <w:p w:rsidR="00D20B22" w:rsidRPr="00265B51" w:rsidRDefault="00D20B22" w:rsidP="00C4602E">
            <w:pPr>
              <w:pStyle w:val="09Tablatextoizq"/>
            </w:pPr>
            <w:r w:rsidRPr="00265B51">
              <w:t>Aguascalientes</w:t>
            </w:r>
          </w:p>
        </w:tc>
        <w:tc>
          <w:tcPr>
            <w:tcW w:w="2583" w:type="dxa"/>
            <w:noWrap/>
            <w:hideMark/>
          </w:tcPr>
          <w:p w:rsidR="00D20B22" w:rsidRPr="00AA7A77" w:rsidRDefault="00D20B22" w:rsidP="00D20B22">
            <w:pPr>
              <w:pStyle w:val="09Tablatextoizq"/>
              <w:jc w:val="right"/>
            </w:pPr>
            <w:r w:rsidRPr="00AA7A77">
              <w:t>44</w:t>
            </w:r>
          </w:p>
        </w:tc>
      </w:tr>
      <w:tr w:rsidR="00D20B22" w:rsidRPr="00AA7A77" w:rsidTr="00002E67">
        <w:trPr>
          <w:cnfStyle w:val="000000100000" w:firstRow="0" w:lastRow="0" w:firstColumn="0" w:lastColumn="0" w:oddVBand="0" w:evenVBand="0" w:oddHBand="1" w:evenHBand="0" w:firstRowFirstColumn="0" w:firstRowLastColumn="0" w:lastRowFirstColumn="0" w:lastRowLastColumn="0"/>
          <w:trHeight w:val="205"/>
          <w:jc w:val="center"/>
        </w:trPr>
        <w:tc>
          <w:tcPr>
            <w:tcW w:w="534" w:type="dxa"/>
            <w:noWrap/>
            <w:hideMark/>
          </w:tcPr>
          <w:p w:rsidR="00D20B22" w:rsidRPr="00265B51" w:rsidRDefault="00D20B22" w:rsidP="00D20B22">
            <w:pPr>
              <w:pStyle w:val="09Tablatextocentrado"/>
            </w:pPr>
            <w:r w:rsidRPr="00265B51">
              <w:t>2</w:t>
            </w:r>
          </w:p>
        </w:tc>
        <w:tc>
          <w:tcPr>
            <w:tcW w:w="1731" w:type="dxa"/>
            <w:noWrap/>
            <w:hideMark/>
          </w:tcPr>
          <w:p w:rsidR="00D20B22" w:rsidRPr="00265B51" w:rsidRDefault="00D20B22" w:rsidP="00C4602E">
            <w:pPr>
              <w:pStyle w:val="09Tablatextoizq"/>
            </w:pPr>
            <w:r w:rsidRPr="00265B51">
              <w:t>Baja california</w:t>
            </w:r>
          </w:p>
        </w:tc>
        <w:tc>
          <w:tcPr>
            <w:tcW w:w="2583" w:type="dxa"/>
            <w:noWrap/>
            <w:hideMark/>
          </w:tcPr>
          <w:p w:rsidR="00D20B22" w:rsidRPr="00AA7A77" w:rsidRDefault="00D20B22" w:rsidP="00D20B22">
            <w:pPr>
              <w:pStyle w:val="09Tablatextoizq"/>
              <w:jc w:val="right"/>
            </w:pPr>
            <w:r w:rsidRPr="00AA7A77">
              <w:t>139</w:t>
            </w:r>
          </w:p>
        </w:tc>
      </w:tr>
      <w:tr w:rsidR="00D20B22" w:rsidRPr="00AA7A77" w:rsidTr="00002E67">
        <w:trPr>
          <w:cnfStyle w:val="000000010000" w:firstRow="0" w:lastRow="0" w:firstColumn="0" w:lastColumn="0" w:oddVBand="0" w:evenVBand="0" w:oddHBand="0" w:evenHBand="1" w:firstRowFirstColumn="0" w:firstRowLastColumn="0" w:lastRowFirstColumn="0" w:lastRowLastColumn="0"/>
          <w:trHeight w:val="211"/>
          <w:jc w:val="center"/>
        </w:trPr>
        <w:tc>
          <w:tcPr>
            <w:tcW w:w="534" w:type="dxa"/>
            <w:noWrap/>
            <w:hideMark/>
          </w:tcPr>
          <w:p w:rsidR="00D20B22" w:rsidRPr="00265B51" w:rsidRDefault="00D20B22" w:rsidP="00D20B22">
            <w:pPr>
              <w:pStyle w:val="09Tablatextocentrado"/>
            </w:pPr>
            <w:r w:rsidRPr="00265B51">
              <w:t>3</w:t>
            </w:r>
          </w:p>
        </w:tc>
        <w:tc>
          <w:tcPr>
            <w:tcW w:w="1731" w:type="dxa"/>
            <w:noWrap/>
            <w:hideMark/>
          </w:tcPr>
          <w:p w:rsidR="00D20B22" w:rsidRPr="00265B51" w:rsidRDefault="00D20B22" w:rsidP="00C4602E">
            <w:pPr>
              <w:pStyle w:val="09Tablatextoizq"/>
            </w:pPr>
            <w:r w:rsidRPr="00265B51">
              <w:t>Baja california Sur</w:t>
            </w:r>
          </w:p>
        </w:tc>
        <w:tc>
          <w:tcPr>
            <w:tcW w:w="2583" w:type="dxa"/>
            <w:noWrap/>
            <w:hideMark/>
          </w:tcPr>
          <w:p w:rsidR="00D20B22" w:rsidRPr="00AA7A77" w:rsidRDefault="00D20B22" w:rsidP="00D20B22">
            <w:pPr>
              <w:pStyle w:val="09Tablatextoizq"/>
              <w:jc w:val="right"/>
            </w:pPr>
            <w:r w:rsidRPr="00AA7A77">
              <w:t>176</w:t>
            </w:r>
          </w:p>
        </w:tc>
      </w:tr>
      <w:tr w:rsidR="00D20B22" w:rsidRPr="00AA7A77" w:rsidTr="00002E67">
        <w:trPr>
          <w:cnfStyle w:val="000000100000" w:firstRow="0" w:lastRow="0" w:firstColumn="0" w:lastColumn="0" w:oddVBand="0" w:evenVBand="0" w:oddHBand="1" w:evenHBand="0" w:firstRowFirstColumn="0" w:firstRowLastColumn="0" w:lastRowFirstColumn="0" w:lastRowLastColumn="0"/>
          <w:trHeight w:val="216"/>
          <w:jc w:val="center"/>
        </w:trPr>
        <w:tc>
          <w:tcPr>
            <w:tcW w:w="534" w:type="dxa"/>
            <w:noWrap/>
            <w:hideMark/>
          </w:tcPr>
          <w:p w:rsidR="00D20B22" w:rsidRPr="00265B51" w:rsidRDefault="00D20B22" w:rsidP="00D20B22">
            <w:pPr>
              <w:pStyle w:val="09Tablatextocentrado"/>
            </w:pPr>
            <w:r w:rsidRPr="00265B51">
              <w:t>4</w:t>
            </w:r>
          </w:p>
        </w:tc>
        <w:tc>
          <w:tcPr>
            <w:tcW w:w="1731" w:type="dxa"/>
            <w:noWrap/>
            <w:hideMark/>
          </w:tcPr>
          <w:p w:rsidR="00D20B22" w:rsidRPr="00265B51" w:rsidRDefault="00D20B22" w:rsidP="00C4602E">
            <w:pPr>
              <w:pStyle w:val="09Tablatextoizq"/>
            </w:pPr>
            <w:r w:rsidRPr="00265B51">
              <w:t>Campeche</w:t>
            </w:r>
          </w:p>
        </w:tc>
        <w:tc>
          <w:tcPr>
            <w:tcW w:w="2583" w:type="dxa"/>
            <w:noWrap/>
            <w:hideMark/>
          </w:tcPr>
          <w:p w:rsidR="00D20B22" w:rsidRPr="00AA7A77" w:rsidRDefault="00D20B22" w:rsidP="00D20B22">
            <w:pPr>
              <w:pStyle w:val="09Tablatextoizq"/>
              <w:jc w:val="right"/>
            </w:pPr>
            <w:r w:rsidRPr="00AA7A77">
              <w:t>418</w:t>
            </w:r>
          </w:p>
        </w:tc>
      </w:tr>
      <w:tr w:rsidR="00D20B22" w:rsidRPr="00AA7A77" w:rsidTr="00002E67">
        <w:trPr>
          <w:cnfStyle w:val="000000010000" w:firstRow="0" w:lastRow="0" w:firstColumn="0" w:lastColumn="0" w:oddVBand="0" w:evenVBand="0" w:oddHBand="0" w:evenHBand="1" w:firstRowFirstColumn="0" w:firstRowLastColumn="0" w:lastRowFirstColumn="0" w:lastRowLastColumn="0"/>
          <w:trHeight w:val="222"/>
          <w:jc w:val="center"/>
        </w:trPr>
        <w:tc>
          <w:tcPr>
            <w:tcW w:w="534" w:type="dxa"/>
            <w:noWrap/>
            <w:hideMark/>
          </w:tcPr>
          <w:p w:rsidR="00D20B22" w:rsidRPr="00265B51" w:rsidRDefault="00D20B22" w:rsidP="00D20B22">
            <w:pPr>
              <w:pStyle w:val="09Tablatextocentrado"/>
            </w:pPr>
            <w:r w:rsidRPr="00265B51">
              <w:t>5</w:t>
            </w:r>
          </w:p>
        </w:tc>
        <w:tc>
          <w:tcPr>
            <w:tcW w:w="1731" w:type="dxa"/>
            <w:noWrap/>
            <w:hideMark/>
          </w:tcPr>
          <w:p w:rsidR="00D20B22" w:rsidRPr="00265B51" w:rsidRDefault="00D20B22" w:rsidP="00C4602E">
            <w:pPr>
              <w:pStyle w:val="09Tablatextoizq"/>
            </w:pPr>
            <w:r w:rsidRPr="00265B51">
              <w:t>Coahuila</w:t>
            </w:r>
          </w:p>
        </w:tc>
        <w:tc>
          <w:tcPr>
            <w:tcW w:w="2583" w:type="dxa"/>
            <w:noWrap/>
            <w:hideMark/>
          </w:tcPr>
          <w:p w:rsidR="00D20B22" w:rsidRPr="00AA7A77" w:rsidRDefault="00D20B22" w:rsidP="00D20B22">
            <w:pPr>
              <w:pStyle w:val="09Tablatextoizq"/>
              <w:jc w:val="right"/>
            </w:pPr>
            <w:r w:rsidRPr="00AA7A77">
              <w:t>720</w:t>
            </w:r>
          </w:p>
        </w:tc>
      </w:tr>
      <w:tr w:rsidR="00D20B22" w:rsidRPr="00AA7A77" w:rsidTr="00002E67">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noWrap/>
            <w:hideMark/>
          </w:tcPr>
          <w:p w:rsidR="00D20B22" w:rsidRPr="00265B51" w:rsidRDefault="00D20B22" w:rsidP="00D20B22">
            <w:pPr>
              <w:pStyle w:val="09Tablatextocentrado"/>
            </w:pPr>
            <w:r w:rsidRPr="00265B51">
              <w:t>6</w:t>
            </w:r>
          </w:p>
        </w:tc>
        <w:tc>
          <w:tcPr>
            <w:tcW w:w="1731" w:type="dxa"/>
            <w:noWrap/>
            <w:hideMark/>
          </w:tcPr>
          <w:p w:rsidR="00D20B22" w:rsidRPr="00265B51" w:rsidRDefault="00D20B22" w:rsidP="00C4602E">
            <w:pPr>
              <w:pStyle w:val="09Tablatextoizq"/>
            </w:pPr>
            <w:r w:rsidRPr="00265B51">
              <w:t>Colima</w:t>
            </w:r>
          </w:p>
        </w:tc>
        <w:tc>
          <w:tcPr>
            <w:tcW w:w="2583" w:type="dxa"/>
            <w:noWrap/>
            <w:hideMark/>
          </w:tcPr>
          <w:p w:rsidR="00D20B22" w:rsidRPr="00AA7A77" w:rsidRDefault="00D20B22" w:rsidP="00D20B22">
            <w:pPr>
              <w:pStyle w:val="09Tablatextoizq"/>
              <w:jc w:val="right"/>
            </w:pPr>
            <w:r w:rsidRPr="00AA7A77">
              <w:t>80</w:t>
            </w:r>
          </w:p>
        </w:tc>
      </w:tr>
      <w:tr w:rsidR="00D20B22" w:rsidRPr="00AA7A77" w:rsidTr="00002E67">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noWrap/>
            <w:hideMark/>
          </w:tcPr>
          <w:p w:rsidR="00D20B22" w:rsidRPr="00265B51" w:rsidRDefault="00D20B22" w:rsidP="00D20B22">
            <w:pPr>
              <w:pStyle w:val="09Tablatextocentrado"/>
            </w:pPr>
            <w:r w:rsidRPr="00265B51">
              <w:t>7</w:t>
            </w:r>
          </w:p>
        </w:tc>
        <w:tc>
          <w:tcPr>
            <w:tcW w:w="1731" w:type="dxa"/>
            <w:noWrap/>
            <w:hideMark/>
          </w:tcPr>
          <w:p w:rsidR="00D20B22" w:rsidRPr="00265B51" w:rsidRDefault="00D20B22" w:rsidP="00C4602E">
            <w:pPr>
              <w:pStyle w:val="09Tablatextoizq"/>
            </w:pPr>
            <w:r w:rsidRPr="00265B51">
              <w:t>Chiapas</w:t>
            </w:r>
          </w:p>
        </w:tc>
        <w:tc>
          <w:tcPr>
            <w:tcW w:w="2583" w:type="dxa"/>
            <w:noWrap/>
            <w:hideMark/>
          </w:tcPr>
          <w:p w:rsidR="00D20B22" w:rsidRPr="00AA7A77" w:rsidRDefault="00D20B22" w:rsidP="00D20B22">
            <w:pPr>
              <w:pStyle w:val="09Tablatextoizq"/>
              <w:jc w:val="right"/>
            </w:pPr>
            <w:r w:rsidRPr="00AA7A77">
              <w:t>1,954</w:t>
            </w:r>
          </w:p>
        </w:tc>
      </w:tr>
      <w:tr w:rsidR="00D20B22" w:rsidRPr="00AA7A77" w:rsidTr="00002E67">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noWrap/>
            <w:hideMark/>
          </w:tcPr>
          <w:p w:rsidR="00D20B22" w:rsidRPr="00265B51" w:rsidRDefault="00D20B22" w:rsidP="00D20B22">
            <w:pPr>
              <w:pStyle w:val="09Tablatextocentrado"/>
            </w:pPr>
            <w:r w:rsidRPr="00265B51">
              <w:t>8</w:t>
            </w:r>
          </w:p>
        </w:tc>
        <w:tc>
          <w:tcPr>
            <w:tcW w:w="1731" w:type="dxa"/>
            <w:noWrap/>
            <w:hideMark/>
          </w:tcPr>
          <w:p w:rsidR="00D20B22" w:rsidRPr="00265B51" w:rsidRDefault="00D20B22" w:rsidP="00C4602E">
            <w:pPr>
              <w:pStyle w:val="09Tablatextoizq"/>
            </w:pPr>
            <w:r w:rsidRPr="00265B51">
              <w:t>Chihuahua</w:t>
            </w:r>
          </w:p>
        </w:tc>
        <w:tc>
          <w:tcPr>
            <w:tcW w:w="2583" w:type="dxa"/>
            <w:noWrap/>
            <w:hideMark/>
          </w:tcPr>
          <w:p w:rsidR="00D20B22" w:rsidRPr="00AA7A77" w:rsidRDefault="00D20B22" w:rsidP="00D20B22">
            <w:pPr>
              <w:pStyle w:val="09Tablatextoizq"/>
              <w:jc w:val="right"/>
            </w:pPr>
            <w:r w:rsidRPr="00AA7A77">
              <w:t>775</w:t>
            </w:r>
          </w:p>
        </w:tc>
      </w:tr>
      <w:tr w:rsidR="00D20B22" w:rsidRPr="00AA7A77" w:rsidTr="00002E67">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noWrap/>
            <w:hideMark/>
          </w:tcPr>
          <w:p w:rsidR="00D20B22" w:rsidRPr="00265B51" w:rsidRDefault="00D20B22" w:rsidP="00D20B22">
            <w:pPr>
              <w:pStyle w:val="09Tablatextocentrado"/>
            </w:pPr>
            <w:r w:rsidRPr="00265B51">
              <w:t>9</w:t>
            </w:r>
          </w:p>
        </w:tc>
        <w:tc>
          <w:tcPr>
            <w:tcW w:w="1731" w:type="dxa"/>
            <w:noWrap/>
            <w:hideMark/>
          </w:tcPr>
          <w:p w:rsidR="00D20B22" w:rsidRPr="00265B51" w:rsidRDefault="00D20B22" w:rsidP="00C4602E">
            <w:pPr>
              <w:pStyle w:val="09Tablatextoizq"/>
            </w:pPr>
            <w:r w:rsidRPr="00265B51">
              <w:t>Distrito Federal</w:t>
            </w:r>
          </w:p>
        </w:tc>
        <w:tc>
          <w:tcPr>
            <w:tcW w:w="2583" w:type="dxa"/>
            <w:noWrap/>
            <w:hideMark/>
          </w:tcPr>
          <w:p w:rsidR="00D20B22" w:rsidRPr="00AA7A77" w:rsidRDefault="00D20B22" w:rsidP="00D20B22">
            <w:pPr>
              <w:pStyle w:val="09Tablatextoizq"/>
              <w:jc w:val="right"/>
            </w:pPr>
            <w:r w:rsidRPr="00AA7A77">
              <w:t>12</w:t>
            </w:r>
          </w:p>
        </w:tc>
      </w:tr>
      <w:tr w:rsidR="00D20B22" w:rsidRPr="00AA7A77" w:rsidTr="00002E67">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noWrap/>
            <w:hideMark/>
          </w:tcPr>
          <w:p w:rsidR="00D20B22" w:rsidRPr="00265B51" w:rsidRDefault="00D20B22" w:rsidP="00D20B22">
            <w:pPr>
              <w:pStyle w:val="09Tablatextocentrado"/>
            </w:pPr>
            <w:r w:rsidRPr="00265B51">
              <w:t>10</w:t>
            </w:r>
          </w:p>
        </w:tc>
        <w:tc>
          <w:tcPr>
            <w:tcW w:w="1731" w:type="dxa"/>
            <w:noWrap/>
            <w:hideMark/>
          </w:tcPr>
          <w:p w:rsidR="00D20B22" w:rsidRPr="00265B51" w:rsidRDefault="00D20B22" w:rsidP="00C4602E">
            <w:pPr>
              <w:pStyle w:val="09Tablatextoizq"/>
            </w:pPr>
            <w:r w:rsidRPr="00265B51">
              <w:t>Durango</w:t>
            </w:r>
          </w:p>
        </w:tc>
        <w:tc>
          <w:tcPr>
            <w:tcW w:w="2583" w:type="dxa"/>
            <w:noWrap/>
            <w:hideMark/>
          </w:tcPr>
          <w:p w:rsidR="00D20B22" w:rsidRPr="00AA7A77" w:rsidRDefault="00D20B22" w:rsidP="00D20B22">
            <w:pPr>
              <w:pStyle w:val="09Tablatextoizq"/>
              <w:jc w:val="right"/>
            </w:pPr>
            <w:r w:rsidRPr="00AA7A77">
              <w:t>886</w:t>
            </w:r>
          </w:p>
        </w:tc>
      </w:tr>
      <w:tr w:rsidR="00D20B22" w:rsidRPr="00AA7A77" w:rsidTr="00002E67">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noWrap/>
            <w:hideMark/>
          </w:tcPr>
          <w:p w:rsidR="00D20B22" w:rsidRPr="00265B51" w:rsidRDefault="00D20B22" w:rsidP="00D20B22">
            <w:pPr>
              <w:pStyle w:val="09Tablatextocentrado"/>
            </w:pPr>
            <w:r w:rsidRPr="00265B51">
              <w:t>11</w:t>
            </w:r>
          </w:p>
        </w:tc>
        <w:tc>
          <w:tcPr>
            <w:tcW w:w="1731" w:type="dxa"/>
            <w:noWrap/>
            <w:hideMark/>
          </w:tcPr>
          <w:p w:rsidR="00D20B22" w:rsidRPr="00265B51" w:rsidRDefault="00D20B22" w:rsidP="00C4602E">
            <w:pPr>
              <w:pStyle w:val="09Tablatextoizq"/>
            </w:pPr>
            <w:r w:rsidRPr="00265B51">
              <w:t>Guanajuato</w:t>
            </w:r>
          </w:p>
        </w:tc>
        <w:tc>
          <w:tcPr>
            <w:tcW w:w="2583" w:type="dxa"/>
            <w:noWrap/>
            <w:hideMark/>
          </w:tcPr>
          <w:p w:rsidR="00D20B22" w:rsidRPr="00AA7A77" w:rsidRDefault="00D20B22" w:rsidP="00D20B22">
            <w:pPr>
              <w:pStyle w:val="09Tablatextoizq"/>
              <w:jc w:val="right"/>
            </w:pPr>
            <w:r w:rsidRPr="00AA7A77">
              <w:t>907</w:t>
            </w:r>
          </w:p>
        </w:tc>
      </w:tr>
      <w:tr w:rsidR="00D20B22" w:rsidRPr="00AA7A77" w:rsidTr="00002E67">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noWrap/>
            <w:hideMark/>
          </w:tcPr>
          <w:p w:rsidR="00D20B22" w:rsidRPr="00265B51" w:rsidRDefault="00D20B22" w:rsidP="00D20B22">
            <w:pPr>
              <w:pStyle w:val="09Tablatextocentrado"/>
            </w:pPr>
            <w:r w:rsidRPr="00265B51">
              <w:t>12</w:t>
            </w:r>
          </w:p>
        </w:tc>
        <w:tc>
          <w:tcPr>
            <w:tcW w:w="1731" w:type="dxa"/>
            <w:noWrap/>
            <w:hideMark/>
          </w:tcPr>
          <w:p w:rsidR="00D20B22" w:rsidRPr="00265B51" w:rsidRDefault="00D20B22" w:rsidP="00C4602E">
            <w:pPr>
              <w:pStyle w:val="09Tablatextoizq"/>
            </w:pPr>
            <w:r w:rsidRPr="00265B51">
              <w:t>Guerrero</w:t>
            </w:r>
          </w:p>
        </w:tc>
        <w:tc>
          <w:tcPr>
            <w:tcW w:w="2583" w:type="dxa"/>
            <w:noWrap/>
            <w:hideMark/>
          </w:tcPr>
          <w:p w:rsidR="00D20B22" w:rsidRPr="00AA7A77" w:rsidRDefault="00D20B22" w:rsidP="00D20B22">
            <w:pPr>
              <w:pStyle w:val="09Tablatextoizq"/>
              <w:jc w:val="right"/>
            </w:pPr>
            <w:r w:rsidRPr="00AA7A77">
              <w:t>1,540</w:t>
            </w:r>
          </w:p>
        </w:tc>
      </w:tr>
      <w:tr w:rsidR="00D20B22" w:rsidRPr="00AA7A77" w:rsidTr="00002E67">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noWrap/>
            <w:hideMark/>
          </w:tcPr>
          <w:p w:rsidR="00D20B22" w:rsidRPr="00265B51" w:rsidRDefault="00D20B22" w:rsidP="00D20B22">
            <w:pPr>
              <w:pStyle w:val="09Tablatextocentrado"/>
            </w:pPr>
            <w:r w:rsidRPr="00265B51">
              <w:t>13</w:t>
            </w:r>
          </w:p>
        </w:tc>
        <w:tc>
          <w:tcPr>
            <w:tcW w:w="1731" w:type="dxa"/>
            <w:noWrap/>
            <w:hideMark/>
          </w:tcPr>
          <w:p w:rsidR="00D20B22" w:rsidRPr="00265B51" w:rsidRDefault="00D20B22" w:rsidP="00C4602E">
            <w:pPr>
              <w:pStyle w:val="09Tablatextoizq"/>
            </w:pPr>
            <w:r w:rsidRPr="00265B51">
              <w:t>Hidalgo</w:t>
            </w:r>
          </w:p>
        </w:tc>
        <w:tc>
          <w:tcPr>
            <w:tcW w:w="2583" w:type="dxa"/>
            <w:noWrap/>
            <w:hideMark/>
          </w:tcPr>
          <w:p w:rsidR="00D20B22" w:rsidRPr="00AA7A77" w:rsidRDefault="00D20B22" w:rsidP="00D20B22">
            <w:pPr>
              <w:pStyle w:val="09Tablatextoizq"/>
              <w:jc w:val="right"/>
            </w:pPr>
            <w:r w:rsidRPr="00AA7A77">
              <w:t>967</w:t>
            </w:r>
          </w:p>
        </w:tc>
      </w:tr>
      <w:tr w:rsidR="00D20B22" w:rsidRPr="00AA7A77" w:rsidTr="00002E67">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noWrap/>
            <w:hideMark/>
          </w:tcPr>
          <w:p w:rsidR="00D20B22" w:rsidRPr="00265B51" w:rsidRDefault="00D20B22" w:rsidP="00D20B22">
            <w:pPr>
              <w:pStyle w:val="09Tablatextocentrado"/>
            </w:pPr>
            <w:r w:rsidRPr="00265B51">
              <w:t>14</w:t>
            </w:r>
          </w:p>
        </w:tc>
        <w:tc>
          <w:tcPr>
            <w:tcW w:w="1731" w:type="dxa"/>
            <w:noWrap/>
            <w:hideMark/>
          </w:tcPr>
          <w:p w:rsidR="00D20B22" w:rsidRPr="00265B51" w:rsidRDefault="00D20B22" w:rsidP="00C4602E">
            <w:pPr>
              <w:pStyle w:val="09Tablatextoizq"/>
            </w:pPr>
            <w:r w:rsidRPr="00265B51">
              <w:t>Jalisco</w:t>
            </w:r>
          </w:p>
        </w:tc>
        <w:tc>
          <w:tcPr>
            <w:tcW w:w="2583" w:type="dxa"/>
            <w:noWrap/>
            <w:hideMark/>
          </w:tcPr>
          <w:p w:rsidR="00D20B22" w:rsidRPr="00AA7A77" w:rsidRDefault="00D20B22" w:rsidP="00D20B22">
            <w:pPr>
              <w:pStyle w:val="09Tablatextoizq"/>
              <w:jc w:val="right"/>
            </w:pPr>
            <w:r w:rsidRPr="00AA7A77">
              <w:t>699</w:t>
            </w:r>
          </w:p>
        </w:tc>
      </w:tr>
      <w:tr w:rsidR="00D20B22" w:rsidRPr="00AA7A77" w:rsidTr="00002E67">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noWrap/>
            <w:hideMark/>
          </w:tcPr>
          <w:p w:rsidR="00D20B22" w:rsidRPr="00265B51" w:rsidRDefault="00D20B22" w:rsidP="00D20B22">
            <w:pPr>
              <w:pStyle w:val="09Tablatextocentrado"/>
            </w:pPr>
            <w:r w:rsidRPr="00265B51">
              <w:t>15</w:t>
            </w:r>
          </w:p>
        </w:tc>
        <w:tc>
          <w:tcPr>
            <w:tcW w:w="1731" w:type="dxa"/>
            <w:noWrap/>
            <w:hideMark/>
          </w:tcPr>
          <w:p w:rsidR="00D20B22" w:rsidRPr="00265B51" w:rsidRDefault="00D20B22" w:rsidP="00C4602E">
            <w:pPr>
              <w:pStyle w:val="09Tablatextoizq"/>
            </w:pPr>
            <w:r w:rsidRPr="00265B51">
              <w:t>M</w:t>
            </w:r>
            <w:r>
              <w:t>é</w:t>
            </w:r>
            <w:r w:rsidRPr="00265B51">
              <w:t>xico</w:t>
            </w:r>
          </w:p>
        </w:tc>
        <w:tc>
          <w:tcPr>
            <w:tcW w:w="2583" w:type="dxa"/>
            <w:noWrap/>
            <w:hideMark/>
          </w:tcPr>
          <w:p w:rsidR="00D20B22" w:rsidRPr="00AA7A77" w:rsidRDefault="00D20B22" w:rsidP="00D20B22">
            <w:pPr>
              <w:pStyle w:val="09Tablatextoizq"/>
              <w:jc w:val="right"/>
            </w:pPr>
            <w:r w:rsidRPr="00AA7A77">
              <w:t>1,047</w:t>
            </w:r>
          </w:p>
        </w:tc>
      </w:tr>
      <w:tr w:rsidR="00D20B22" w:rsidRPr="00AA7A77" w:rsidTr="00002E67">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noWrap/>
            <w:hideMark/>
          </w:tcPr>
          <w:p w:rsidR="00D20B22" w:rsidRPr="00265B51" w:rsidRDefault="00D20B22" w:rsidP="00D20B22">
            <w:pPr>
              <w:pStyle w:val="09Tablatextocentrado"/>
            </w:pPr>
            <w:r w:rsidRPr="00265B51">
              <w:t>16</w:t>
            </w:r>
          </w:p>
        </w:tc>
        <w:tc>
          <w:tcPr>
            <w:tcW w:w="1731" w:type="dxa"/>
            <w:noWrap/>
            <w:hideMark/>
          </w:tcPr>
          <w:p w:rsidR="00D20B22" w:rsidRPr="00265B51" w:rsidRDefault="00D20B22" w:rsidP="00C4602E">
            <w:pPr>
              <w:pStyle w:val="09Tablatextoizq"/>
            </w:pPr>
            <w:r w:rsidRPr="00265B51">
              <w:t>Michoac</w:t>
            </w:r>
            <w:r>
              <w:t>á</w:t>
            </w:r>
            <w:r w:rsidRPr="00265B51">
              <w:t xml:space="preserve">n </w:t>
            </w:r>
          </w:p>
        </w:tc>
        <w:tc>
          <w:tcPr>
            <w:tcW w:w="2583" w:type="dxa"/>
            <w:noWrap/>
            <w:hideMark/>
          </w:tcPr>
          <w:p w:rsidR="00D20B22" w:rsidRPr="00AA7A77" w:rsidRDefault="00D20B22" w:rsidP="00D20B22">
            <w:pPr>
              <w:pStyle w:val="09Tablatextoizq"/>
              <w:jc w:val="right"/>
            </w:pPr>
            <w:r w:rsidRPr="00AA7A77">
              <w:t>1,071</w:t>
            </w:r>
          </w:p>
        </w:tc>
      </w:tr>
      <w:tr w:rsidR="00D20B22" w:rsidRPr="00AA7A77" w:rsidTr="00002E67">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noWrap/>
            <w:hideMark/>
          </w:tcPr>
          <w:p w:rsidR="00D20B22" w:rsidRPr="00265B51" w:rsidRDefault="00D20B22" w:rsidP="00D20B22">
            <w:pPr>
              <w:pStyle w:val="09Tablatextocentrado"/>
            </w:pPr>
            <w:r w:rsidRPr="00265B51">
              <w:t>17</w:t>
            </w:r>
          </w:p>
        </w:tc>
        <w:tc>
          <w:tcPr>
            <w:tcW w:w="1731" w:type="dxa"/>
            <w:noWrap/>
            <w:hideMark/>
          </w:tcPr>
          <w:p w:rsidR="00D20B22" w:rsidRPr="00265B51" w:rsidRDefault="00D20B22" w:rsidP="00C4602E">
            <w:pPr>
              <w:pStyle w:val="09Tablatextoizq"/>
            </w:pPr>
            <w:r w:rsidRPr="00265B51">
              <w:t>Morelos</w:t>
            </w:r>
          </w:p>
        </w:tc>
        <w:tc>
          <w:tcPr>
            <w:tcW w:w="2583" w:type="dxa"/>
            <w:noWrap/>
            <w:hideMark/>
          </w:tcPr>
          <w:p w:rsidR="00D20B22" w:rsidRPr="00AA7A77" w:rsidRDefault="00D20B22" w:rsidP="00D20B22">
            <w:pPr>
              <w:pStyle w:val="09Tablatextoizq"/>
              <w:jc w:val="right"/>
            </w:pPr>
            <w:r w:rsidRPr="00AA7A77">
              <w:t>223</w:t>
            </w:r>
          </w:p>
        </w:tc>
      </w:tr>
      <w:tr w:rsidR="00D20B22" w:rsidRPr="00AA7A77" w:rsidTr="00002E67">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noWrap/>
            <w:hideMark/>
          </w:tcPr>
          <w:p w:rsidR="00D20B22" w:rsidRPr="00265B51" w:rsidRDefault="00D20B22" w:rsidP="00D20B22">
            <w:pPr>
              <w:pStyle w:val="09Tablatextocentrado"/>
            </w:pPr>
            <w:r w:rsidRPr="00265B51">
              <w:t>18</w:t>
            </w:r>
          </w:p>
        </w:tc>
        <w:tc>
          <w:tcPr>
            <w:tcW w:w="1731" w:type="dxa"/>
            <w:noWrap/>
            <w:hideMark/>
          </w:tcPr>
          <w:p w:rsidR="00D20B22" w:rsidRPr="00265B51" w:rsidRDefault="00D20B22" w:rsidP="00C4602E">
            <w:pPr>
              <w:pStyle w:val="09Tablatextoizq"/>
            </w:pPr>
            <w:r w:rsidRPr="00265B51">
              <w:t>Nayarit</w:t>
            </w:r>
          </w:p>
        </w:tc>
        <w:tc>
          <w:tcPr>
            <w:tcW w:w="2583" w:type="dxa"/>
            <w:noWrap/>
            <w:hideMark/>
          </w:tcPr>
          <w:p w:rsidR="00D20B22" w:rsidRPr="00AA7A77" w:rsidRDefault="00D20B22" w:rsidP="00D20B22">
            <w:pPr>
              <w:pStyle w:val="09Tablatextoizq"/>
              <w:jc w:val="right"/>
            </w:pPr>
            <w:r w:rsidRPr="00AA7A77">
              <w:t>591</w:t>
            </w:r>
          </w:p>
        </w:tc>
      </w:tr>
      <w:tr w:rsidR="00D20B22" w:rsidRPr="00AA7A77" w:rsidTr="00002E67">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noWrap/>
            <w:hideMark/>
          </w:tcPr>
          <w:p w:rsidR="00D20B22" w:rsidRPr="00265B51" w:rsidRDefault="00D20B22" w:rsidP="00D20B22">
            <w:pPr>
              <w:pStyle w:val="09Tablatextocentrado"/>
            </w:pPr>
            <w:r w:rsidRPr="00265B51">
              <w:t>19</w:t>
            </w:r>
          </w:p>
        </w:tc>
        <w:tc>
          <w:tcPr>
            <w:tcW w:w="1731" w:type="dxa"/>
            <w:noWrap/>
            <w:hideMark/>
          </w:tcPr>
          <w:p w:rsidR="00D20B22" w:rsidRPr="00265B51" w:rsidRDefault="00D20B22" w:rsidP="00C4602E">
            <w:pPr>
              <w:pStyle w:val="09Tablatextoizq"/>
            </w:pPr>
            <w:r w:rsidRPr="00265B51">
              <w:t>Nuevo Le</w:t>
            </w:r>
            <w:r>
              <w:t>ó</w:t>
            </w:r>
            <w:r w:rsidRPr="00265B51">
              <w:t>n</w:t>
            </w:r>
          </w:p>
        </w:tc>
        <w:tc>
          <w:tcPr>
            <w:tcW w:w="2583" w:type="dxa"/>
            <w:noWrap/>
            <w:hideMark/>
          </w:tcPr>
          <w:p w:rsidR="00D20B22" w:rsidRPr="00AA7A77" w:rsidRDefault="00D20B22" w:rsidP="00D20B22">
            <w:pPr>
              <w:pStyle w:val="09Tablatextoizq"/>
              <w:jc w:val="right"/>
            </w:pPr>
            <w:r w:rsidRPr="00AA7A77">
              <w:t>649</w:t>
            </w:r>
          </w:p>
        </w:tc>
      </w:tr>
      <w:tr w:rsidR="00D20B22" w:rsidRPr="00AA7A77" w:rsidTr="00002E67">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noWrap/>
            <w:hideMark/>
          </w:tcPr>
          <w:p w:rsidR="00D20B22" w:rsidRPr="00265B51" w:rsidRDefault="00D20B22" w:rsidP="00D20B22">
            <w:pPr>
              <w:pStyle w:val="09Tablatextocentrado"/>
            </w:pPr>
            <w:r w:rsidRPr="00265B51">
              <w:t>20</w:t>
            </w:r>
          </w:p>
        </w:tc>
        <w:tc>
          <w:tcPr>
            <w:tcW w:w="1731" w:type="dxa"/>
            <w:noWrap/>
            <w:hideMark/>
          </w:tcPr>
          <w:p w:rsidR="00D20B22" w:rsidRPr="00265B51" w:rsidRDefault="00D20B22" w:rsidP="00C4602E">
            <w:pPr>
              <w:pStyle w:val="09Tablatextoizq"/>
            </w:pPr>
            <w:r w:rsidRPr="00265B51">
              <w:t>Oaxaca</w:t>
            </w:r>
          </w:p>
        </w:tc>
        <w:tc>
          <w:tcPr>
            <w:tcW w:w="2583" w:type="dxa"/>
            <w:noWrap/>
            <w:hideMark/>
          </w:tcPr>
          <w:p w:rsidR="00D20B22" w:rsidRPr="00AA7A77" w:rsidRDefault="00D20B22" w:rsidP="00D20B22">
            <w:pPr>
              <w:pStyle w:val="09Tablatextoizq"/>
              <w:jc w:val="right"/>
            </w:pPr>
            <w:r w:rsidRPr="00AA7A77">
              <w:t>2,234</w:t>
            </w:r>
          </w:p>
        </w:tc>
      </w:tr>
      <w:tr w:rsidR="00D20B22" w:rsidRPr="00AA7A77" w:rsidTr="00002E67">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noWrap/>
            <w:hideMark/>
          </w:tcPr>
          <w:p w:rsidR="00D20B22" w:rsidRPr="00265B51" w:rsidRDefault="00D20B22" w:rsidP="00D20B22">
            <w:pPr>
              <w:pStyle w:val="09Tablatextocentrado"/>
            </w:pPr>
            <w:r w:rsidRPr="00265B51">
              <w:t>21</w:t>
            </w:r>
          </w:p>
        </w:tc>
        <w:tc>
          <w:tcPr>
            <w:tcW w:w="1731" w:type="dxa"/>
            <w:noWrap/>
            <w:hideMark/>
          </w:tcPr>
          <w:p w:rsidR="00D20B22" w:rsidRPr="00265B51" w:rsidRDefault="00D20B22" w:rsidP="00C4602E">
            <w:pPr>
              <w:pStyle w:val="09Tablatextoizq"/>
            </w:pPr>
            <w:r w:rsidRPr="00265B51">
              <w:t>Puebla</w:t>
            </w:r>
          </w:p>
        </w:tc>
        <w:tc>
          <w:tcPr>
            <w:tcW w:w="2583" w:type="dxa"/>
            <w:noWrap/>
            <w:hideMark/>
          </w:tcPr>
          <w:p w:rsidR="00D20B22" w:rsidRPr="00AA7A77" w:rsidRDefault="00D20B22" w:rsidP="00D20B22">
            <w:pPr>
              <w:pStyle w:val="09Tablatextoizq"/>
              <w:jc w:val="right"/>
            </w:pPr>
            <w:r w:rsidRPr="00AA7A77">
              <w:t>1,316</w:t>
            </w:r>
          </w:p>
        </w:tc>
      </w:tr>
      <w:tr w:rsidR="00D20B22" w:rsidRPr="00AA7A77" w:rsidTr="00002E67">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noWrap/>
            <w:hideMark/>
          </w:tcPr>
          <w:p w:rsidR="00D20B22" w:rsidRPr="00265B51" w:rsidRDefault="00D20B22" w:rsidP="00D20B22">
            <w:pPr>
              <w:pStyle w:val="09Tablatextocentrado"/>
            </w:pPr>
            <w:r w:rsidRPr="00265B51">
              <w:t>22</w:t>
            </w:r>
          </w:p>
        </w:tc>
        <w:tc>
          <w:tcPr>
            <w:tcW w:w="1731" w:type="dxa"/>
            <w:noWrap/>
            <w:hideMark/>
          </w:tcPr>
          <w:p w:rsidR="00D20B22" w:rsidRPr="00265B51" w:rsidRDefault="00D20B22" w:rsidP="00C4602E">
            <w:pPr>
              <w:pStyle w:val="09Tablatextoizq"/>
            </w:pPr>
            <w:r w:rsidRPr="00265B51">
              <w:t>Quer</w:t>
            </w:r>
            <w:r>
              <w:t>é</w:t>
            </w:r>
            <w:r w:rsidRPr="00265B51">
              <w:t xml:space="preserve">taro </w:t>
            </w:r>
          </w:p>
        </w:tc>
        <w:tc>
          <w:tcPr>
            <w:tcW w:w="2583" w:type="dxa"/>
            <w:noWrap/>
            <w:hideMark/>
          </w:tcPr>
          <w:p w:rsidR="00D20B22" w:rsidRPr="00AA7A77" w:rsidRDefault="00D20B22" w:rsidP="00D20B22">
            <w:pPr>
              <w:pStyle w:val="09Tablatextoizq"/>
              <w:jc w:val="right"/>
            </w:pPr>
            <w:r w:rsidRPr="00AA7A77">
              <w:t>402</w:t>
            </w:r>
          </w:p>
        </w:tc>
      </w:tr>
      <w:tr w:rsidR="00D20B22" w:rsidRPr="00AA7A77" w:rsidTr="00002E67">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noWrap/>
            <w:hideMark/>
          </w:tcPr>
          <w:p w:rsidR="00D20B22" w:rsidRPr="00265B51" w:rsidRDefault="00D20B22" w:rsidP="00D20B22">
            <w:pPr>
              <w:pStyle w:val="09Tablatextocentrado"/>
            </w:pPr>
            <w:r w:rsidRPr="00265B51">
              <w:t>23</w:t>
            </w:r>
          </w:p>
        </w:tc>
        <w:tc>
          <w:tcPr>
            <w:tcW w:w="1731" w:type="dxa"/>
            <w:noWrap/>
            <w:hideMark/>
          </w:tcPr>
          <w:p w:rsidR="00D20B22" w:rsidRPr="00265B51" w:rsidRDefault="00D20B22" w:rsidP="00C4602E">
            <w:pPr>
              <w:pStyle w:val="09Tablatextoizq"/>
            </w:pPr>
            <w:r w:rsidRPr="00265B51">
              <w:t>Quintana Roo</w:t>
            </w:r>
          </w:p>
        </w:tc>
        <w:tc>
          <w:tcPr>
            <w:tcW w:w="2583" w:type="dxa"/>
            <w:noWrap/>
            <w:hideMark/>
          </w:tcPr>
          <w:p w:rsidR="00D20B22" w:rsidRPr="00AA7A77" w:rsidRDefault="00D20B22" w:rsidP="00D20B22">
            <w:pPr>
              <w:pStyle w:val="09Tablatextoizq"/>
              <w:jc w:val="right"/>
            </w:pPr>
            <w:r w:rsidRPr="00AA7A77">
              <w:t>359</w:t>
            </w:r>
          </w:p>
        </w:tc>
      </w:tr>
      <w:tr w:rsidR="00D20B22" w:rsidRPr="00AA7A77" w:rsidTr="00002E67">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noWrap/>
            <w:hideMark/>
          </w:tcPr>
          <w:p w:rsidR="00D20B22" w:rsidRPr="00265B51" w:rsidRDefault="00D20B22" w:rsidP="00D20B22">
            <w:pPr>
              <w:pStyle w:val="09Tablatextocentrado"/>
            </w:pPr>
            <w:r w:rsidRPr="00265B51">
              <w:t>24</w:t>
            </w:r>
          </w:p>
        </w:tc>
        <w:tc>
          <w:tcPr>
            <w:tcW w:w="1731" w:type="dxa"/>
            <w:noWrap/>
            <w:hideMark/>
          </w:tcPr>
          <w:p w:rsidR="00D20B22" w:rsidRPr="00265B51" w:rsidRDefault="00D20B22" w:rsidP="00C4602E">
            <w:pPr>
              <w:pStyle w:val="09Tablatextoizq"/>
            </w:pPr>
            <w:r w:rsidRPr="00265B51">
              <w:t>San Luis Potos</w:t>
            </w:r>
            <w:r>
              <w:t>í</w:t>
            </w:r>
          </w:p>
        </w:tc>
        <w:tc>
          <w:tcPr>
            <w:tcW w:w="2583" w:type="dxa"/>
            <w:noWrap/>
            <w:hideMark/>
          </w:tcPr>
          <w:p w:rsidR="00D20B22" w:rsidRPr="00AA7A77" w:rsidRDefault="00D20B22" w:rsidP="00D20B22">
            <w:pPr>
              <w:pStyle w:val="09Tablatextoizq"/>
              <w:jc w:val="right"/>
            </w:pPr>
            <w:r w:rsidRPr="00AA7A77">
              <w:t>1,080</w:t>
            </w:r>
          </w:p>
        </w:tc>
      </w:tr>
      <w:tr w:rsidR="00D20B22" w:rsidRPr="00AA7A77" w:rsidTr="00002E67">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noWrap/>
            <w:hideMark/>
          </w:tcPr>
          <w:p w:rsidR="00D20B22" w:rsidRPr="00265B51" w:rsidRDefault="00D20B22" w:rsidP="00D20B22">
            <w:pPr>
              <w:pStyle w:val="09Tablatextocentrado"/>
            </w:pPr>
            <w:r w:rsidRPr="00265B51">
              <w:t>25</w:t>
            </w:r>
          </w:p>
        </w:tc>
        <w:tc>
          <w:tcPr>
            <w:tcW w:w="1731" w:type="dxa"/>
            <w:noWrap/>
            <w:hideMark/>
          </w:tcPr>
          <w:p w:rsidR="00D20B22" w:rsidRPr="00265B51" w:rsidRDefault="00D20B22" w:rsidP="00C4602E">
            <w:pPr>
              <w:pStyle w:val="09Tablatextoizq"/>
            </w:pPr>
            <w:r w:rsidRPr="00265B51">
              <w:t>Sinaloa</w:t>
            </w:r>
          </w:p>
        </w:tc>
        <w:tc>
          <w:tcPr>
            <w:tcW w:w="2583" w:type="dxa"/>
            <w:noWrap/>
            <w:hideMark/>
          </w:tcPr>
          <w:p w:rsidR="00D20B22" w:rsidRPr="00AA7A77" w:rsidRDefault="00D20B22" w:rsidP="00D20B22">
            <w:pPr>
              <w:pStyle w:val="09Tablatextoizq"/>
              <w:jc w:val="right"/>
            </w:pPr>
            <w:r w:rsidRPr="00AA7A77">
              <w:t>784</w:t>
            </w:r>
          </w:p>
        </w:tc>
      </w:tr>
      <w:tr w:rsidR="00D20B22" w:rsidRPr="00AA7A77" w:rsidTr="00002E67">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noWrap/>
            <w:hideMark/>
          </w:tcPr>
          <w:p w:rsidR="00D20B22" w:rsidRPr="00265B51" w:rsidRDefault="00D20B22" w:rsidP="00D20B22">
            <w:pPr>
              <w:pStyle w:val="09Tablatextocentrado"/>
            </w:pPr>
            <w:r w:rsidRPr="00265B51">
              <w:t>26</w:t>
            </w:r>
          </w:p>
        </w:tc>
        <w:tc>
          <w:tcPr>
            <w:tcW w:w="1731" w:type="dxa"/>
            <w:noWrap/>
            <w:hideMark/>
          </w:tcPr>
          <w:p w:rsidR="00D20B22" w:rsidRPr="00265B51" w:rsidRDefault="00D20B22" w:rsidP="00C4602E">
            <w:pPr>
              <w:pStyle w:val="09Tablatextoizq"/>
            </w:pPr>
            <w:r w:rsidRPr="00265B51">
              <w:t>Sonora</w:t>
            </w:r>
          </w:p>
        </w:tc>
        <w:tc>
          <w:tcPr>
            <w:tcW w:w="2583" w:type="dxa"/>
            <w:noWrap/>
            <w:hideMark/>
          </w:tcPr>
          <w:p w:rsidR="00D20B22" w:rsidRPr="00AA7A77" w:rsidRDefault="00D20B22" w:rsidP="00D20B22">
            <w:pPr>
              <w:pStyle w:val="09Tablatextoizq"/>
              <w:jc w:val="right"/>
            </w:pPr>
            <w:r w:rsidRPr="00AA7A77">
              <w:t>485</w:t>
            </w:r>
          </w:p>
        </w:tc>
      </w:tr>
      <w:tr w:rsidR="00D20B22" w:rsidRPr="00AA7A77" w:rsidTr="00002E67">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noWrap/>
            <w:hideMark/>
          </w:tcPr>
          <w:p w:rsidR="00D20B22" w:rsidRPr="00265B51" w:rsidRDefault="00D20B22" w:rsidP="00D20B22">
            <w:pPr>
              <w:pStyle w:val="09Tablatextocentrado"/>
            </w:pPr>
            <w:r w:rsidRPr="00265B51">
              <w:t>27</w:t>
            </w:r>
          </w:p>
        </w:tc>
        <w:tc>
          <w:tcPr>
            <w:tcW w:w="1731" w:type="dxa"/>
            <w:noWrap/>
            <w:hideMark/>
          </w:tcPr>
          <w:p w:rsidR="00D20B22" w:rsidRPr="00265B51" w:rsidRDefault="00D20B22" w:rsidP="00C4602E">
            <w:pPr>
              <w:pStyle w:val="09Tablatextoizq"/>
            </w:pPr>
            <w:r w:rsidRPr="00265B51">
              <w:t>Tabasco</w:t>
            </w:r>
          </w:p>
        </w:tc>
        <w:tc>
          <w:tcPr>
            <w:tcW w:w="2583" w:type="dxa"/>
            <w:noWrap/>
            <w:hideMark/>
          </w:tcPr>
          <w:p w:rsidR="00D20B22" w:rsidRPr="00AA7A77" w:rsidRDefault="00D20B22" w:rsidP="00D20B22">
            <w:pPr>
              <w:pStyle w:val="09Tablatextoizq"/>
              <w:jc w:val="right"/>
            </w:pPr>
            <w:r w:rsidRPr="00AA7A77">
              <w:t>991</w:t>
            </w:r>
          </w:p>
        </w:tc>
      </w:tr>
      <w:tr w:rsidR="00D20B22" w:rsidRPr="00AA7A77" w:rsidTr="00002E67">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noWrap/>
            <w:hideMark/>
          </w:tcPr>
          <w:p w:rsidR="00D20B22" w:rsidRPr="00265B51" w:rsidRDefault="00D20B22" w:rsidP="00D20B22">
            <w:pPr>
              <w:pStyle w:val="09Tablatextocentrado"/>
            </w:pPr>
            <w:r w:rsidRPr="00265B51">
              <w:t>28</w:t>
            </w:r>
          </w:p>
        </w:tc>
        <w:tc>
          <w:tcPr>
            <w:tcW w:w="1731" w:type="dxa"/>
            <w:noWrap/>
            <w:hideMark/>
          </w:tcPr>
          <w:p w:rsidR="00D20B22" w:rsidRPr="00265B51" w:rsidRDefault="00D20B22" w:rsidP="00C4602E">
            <w:pPr>
              <w:pStyle w:val="09Tablatextoizq"/>
            </w:pPr>
            <w:r w:rsidRPr="00265B51">
              <w:t>Tamaulipas</w:t>
            </w:r>
          </w:p>
        </w:tc>
        <w:tc>
          <w:tcPr>
            <w:tcW w:w="2583" w:type="dxa"/>
            <w:noWrap/>
            <w:hideMark/>
          </w:tcPr>
          <w:p w:rsidR="00D20B22" w:rsidRPr="00AA7A77" w:rsidRDefault="00D20B22" w:rsidP="00D20B22">
            <w:pPr>
              <w:pStyle w:val="09Tablatextoizq"/>
              <w:jc w:val="right"/>
            </w:pPr>
            <w:r w:rsidRPr="00AA7A77">
              <w:t>666</w:t>
            </w:r>
          </w:p>
        </w:tc>
      </w:tr>
      <w:tr w:rsidR="00D20B22" w:rsidRPr="00AA7A77" w:rsidTr="00002E67">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noWrap/>
            <w:hideMark/>
          </w:tcPr>
          <w:p w:rsidR="00D20B22" w:rsidRPr="00265B51" w:rsidRDefault="00D20B22" w:rsidP="00D20B22">
            <w:pPr>
              <w:pStyle w:val="09Tablatextocentrado"/>
            </w:pPr>
            <w:r w:rsidRPr="00265B51">
              <w:t>29</w:t>
            </w:r>
          </w:p>
        </w:tc>
        <w:tc>
          <w:tcPr>
            <w:tcW w:w="1731" w:type="dxa"/>
            <w:noWrap/>
            <w:hideMark/>
          </w:tcPr>
          <w:p w:rsidR="00D20B22" w:rsidRPr="00265B51" w:rsidRDefault="00D20B22" w:rsidP="00C4602E">
            <w:pPr>
              <w:pStyle w:val="09Tablatextoizq"/>
            </w:pPr>
            <w:r w:rsidRPr="00265B51">
              <w:t>Tlaxcala</w:t>
            </w:r>
          </w:p>
        </w:tc>
        <w:tc>
          <w:tcPr>
            <w:tcW w:w="2583" w:type="dxa"/>
            <w:noWrap/>
            <w:hideMark/>
          </w:tcPr>
          <w:p w:rsidR="00D20B22" w:rsidRPr="00AA7A77" w:rsidRDefault="00D20B22" w:rsidP="00D20B22">
            <w:pPr>
              <w:pStyle w:val="09Tablatextoizq"/>
              <w:jc w:val="right"/>
            </w:pPr>
            <w:r w:rsidRPr="00AA7A77">
              <w:t>263</w:t>
            </w:r>
          </w:p>
        </w:tc>
      </w:tr>
      <w:tr w:rsidR="00D20B22" w:rsidRPr="00AA7A77" w:rsidTr="00002E67">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noWrap/>
            <w:hideMark/>
          </w:tcPr>
          <w:p w:rsidR="00D20B22" w:rsidRPr="00265B51" w:rsidRDefault="00D20B22" w:rsidP="00D20B22">
            <w:pPr>
              <w:pStyle w:val="09Tablatextocentrado"/>
            </w:pPr>
            <w:r w:rsidRPr="00265B51">
              <w:t>30</w:t>
            </w:r>
          </w:p>
        </w:tc>
        <w:tc>
          <w:tcPr>
            <w:tcW w:w="1731" w:type="dxa"/>
            <w:noWrap/>
            <w:hideMark/>
          </w:tcPr>
          <w:p w:rsidR="00D20B22" w:rsidRPr="00265B51" w:rsidRDefault="00D20B22" w:rsidP="00C4602E">
            <w:pPr>
              <w:pStyle w:val="09Tablatextoizq"/>
            </w:pPr>
            <w:r w:rsidRPr="00265B51">
              <w:t>Veracruz</w:t>
            </w:r>
          </w:p>
        </w:tc>
        <w:tc>
          <w:tcPr>
            <w:tcW w:w="2583" w:type="dxa"/>
            <w:noWrap/>
            <w:hideMark/>
          </w:tcPr>
          <w:p w:rsidR="00D20B22" w:rsidRPr="00AA7A77" w:rsidRDefault="00D20B22" w:rsidP="00D20B22">
            <w:pPr>
              <w:pStyle w:val="09Tablatextoizq"/>
              <w:jc w:val="right"/>
            </w:pPr>
            <w:r w:rsidRPr="00AA7A77">
              <w:t>2,444</w:t>
            </w:r>
          </w:p>
        </w:tc>
      </w:tr>
      <w:tr w:rsidR="00D20B22" w:rsidRPr="00AA7A77" w:rsidTr="00002E67">
        <w:trPr>
          <w:cnfStyle w:val="000000010000" w:firstRow="0" w:lastRow="0" w:firstColumn="0" w:lastColumn="0" w:oddVBand="0" w:evenVBand="0" w:oddHBand="0" w:evenHBand="1" w:firstRowFirstColumn="0" w:firstRowLastColumn="0" w:lastRowFirstColumn="0" w:lastRowLastColumn="0"/>
          <w:trHeight w:val="288"/>
          <w:jc w:val="center"/>
        </w:trPr>
        <w:tc>
          <w:tcPr>
            <w:tcW w:w="534" w:type="dxa"/>
            <w:noWrap/>
            <w:hideMark/>
          </w:tcPr>
          <w:p w:rsidR="00D20B22" w:rsidRPr="00265B51" w:rsidRDefault="00D20B22" w:rsidP="00D20B22">
            <w:pPr>
              <w:pStyle w:val="09Tablatextocentrado"/>
            </w:pPr>
            <w:r w:rsidRPr="00265B51">
              <w:t>31</w:t>
            </w:r>
          </w:p>
        </w:tc>
        <w:tc>
          <w:tcPr>
            <w:tcW w:w="1731" w:type="dxa"/>
            <w:noWrap/>
            <w:hideMark/>
          </w:tcPr>
          <w:p w:rsidR="00D20B22" w:rsidRPr="00265B51" w:rsidRDefault="00D20B22" w:rsidP="00C4602E">
            <w:pPr>
              <w:pStyle w:val="09Tablatextoizq"/>
            </w:pPr>
            <w:r w:rsidRPr="00265B51">
              <w:t>Yucat</w:t>
            </w:r>
            <w:r>
              <w:t>á</w:t>
            </w:r>
            <w:r w:rsidRPr="00265B51">
              <w:t>n</w:t>
            </w:r>
          </w:p>
        </w:tc>
        <w:tc>
          <w:tcPr>
            <w:tcW w:w="2583" w:type="dxa"/>
            <w:noWrap/>
            <w:hideMark/>
          </w:tcPr>
          <w:p w:rsidR="00D20B22" w:rsidRPr="00AA7A77" w:rsidRDefault="00D20B22" w:rsidP="00D20B22">
            <w:pPr>
              <w:pStyle w:val="09Tablatextoizq"/>
              <w:jc w:val="right"/>
            </w:pPr>
            <w:r w:rsidRPr="00AA7A77">
              <w:t>675</w:t>
            </w:r>
          </w:p>
        </w:tc>
      </w:tr>
      <w:tr w:rsidR="00D20B22" w:rsidRPr="00AA7A77" w:rsidTr="00002E67">
        <w:trPr>
          <w:cnfStyle w:val="000000100000" w:firstRow="0" w:lastRow="0" w:firstColumn="0" w:lastColumn="0" w:oddVBand="0" w:evenVBand="0" w:oddHBand="1" w:evenHBand="0" w:firstRowFirstColumn="0" w:firstRowLastColumn="0" w:lastRowFirstColumn="0" w:lastRowLastColumn="0"/>
          <w:trHeight w:val="288"/>
          <w:jc w:val="center"/>
        </w:trPr>
        <w:tc>
          <w:tcPr>
            <w:tcW w:w="534" w:type="dxa"/>
            <w:noWrap/>
            <w:hideMark/>
          </w:tcPr>
          <w:p w:rsidR="00D20B22" w:rsidRPr="00265B51" w:rsidRDefault="00D20B22" w:rsidP="00D20B22">
            <w:pPr>
              <w:pStyle w:val="09Tablatextocentrado"/>
            </w:pPr>
            <w:r w:rsidRPr="00265B51">
              <w:t>32</w:t>
            </w:r>
          </w:p>
        </w:tc>
        <w:tc>
          <w:tcPr>
            <w:tcW w:w="1731" w:type="dxa"/>
            <w:noWrap/>
            <w:hideMark/>
          </w:tcPr>
          <w:p w:rsidR="00D20B22" w:rsidRPr="00265B51" w:rsidRDefault="00D20B22" w:rsidP="00C4602E">
            <w:pPr>
              <w:pStyle w:val="09Tablatextoizq"/>
            </w:pPr>
            <w:r w:rsidRPr="00265B51">
              <w:t>Zacatecas</w:t>
            </w:r>
          </w:p>
        </w:tc>
        <w:tc>
          <w:tcPr>
            <w:tcW w:w="2583" w:type="dxa"/>
            <w:noWrap/>
            <w:hideMark/>
          </w:tcPr>
          <w:p w:rsidR="00D20B22" w:rsidRPr="00AA7A77" w:rsidRDefault="00D20B22" w:rsidP="00D20B22">
            <w:pPr>
              <w:pStyle w:val="09Tablatextoizq"/>
              <w:jc w:val="right"/>
            </w:pPr>
            <w:r w:rsidRPr="00AA7A77">
              <w:t>595</w:t>
            </w:r>
          </w:p>
        </w:tc>
      </w:tr>
      <w:tr w:rsidR="00733204" w:rsidRPr="00265B51" w:rsidTr="00C4602E">
        <w:trPr>
          <w:cnfStyle w:val="000000010000" w:firstRow="0" w:lastRow="0" w:firstColumn="0" w:lastColumn="0" w:oddVBand="0" w:evenVBand="0" w:oddHBand="0" w:evenHBand="1" w:firstRowFirstColumn="0" w:firstRowLastColumn="0" w:lastRowFirstColumn="0" w:lastRowLastColumn="0"/>
          <w:trHeight w:val="300"/>
          <w:jc w:val="center"/>
        </w:trPr>
        <w:tc>
          <w:tcPr>
            <w:tcW w:w="2265" w:type="dxa"/>
            <w:gridSpan w:val="2"/>
            <w:tcBorders>
              <w:bottom w:val="nil"/>
            </w:tcBorders>
            <w:noWrap/>
            <w:hideMark/>
          </w:tcPr>
          <w:p w:rsidR="00733204" w:rsidRPr="00D20B22" w:rsidRDefault="00733204" w:rsidP="00C4602E">
            <w:pPr>
              <w:pStyle w:val="09Tablaencabezado"/>
              <w:rPr>
                <w:color w:val="auto"/>
              </w:rPr>
            </w:pPr>
            <w:r w:rsidRPr="00D20B22">
              <w:rPr>
                <w:color w:val="auto"/>
              </w:rPr>
              <w:t>Total</w:t>
            </w:r>
          </w:p>
        </w:tc>
        <w:tc>
          <w:tcPr>
            <w:tcW w:w="2583" w:type="dxa"/>
            <w:tcBorders>
              <w:bottom w:val="nil"/>
            </w:tcBorders>
            <w:noWrap/>
            <w:hideMark/>
          </w:tcPr>
          <w:p w:rsidR="00733204" w:rsidRPr="00D20B22" w:rsidRDefault="00733204" w:rsidP="00D20B22">
            <w:pPr>
              <w:pStyle w:val="09Tablaencabezado"/>
              <w:rPr>
                <w:color w:val="auto"/>
              </w:rPr>
            </w:pPr>
            <w:r w:rsidRPr="00D20B22">
              <w:rPr>
                <w:color w:val="auto"/>
              </w:rPr>
              <w:t>25,</w:t>
            </w:r>
            <w:r w:rsidR="00D20B22" w:rsidRPr="00D20B22">
              <w:rPr>
                <w:color w:val="auto"/>
              </w:rPr>
              <w:t>192</w:t>
            </w:r>
          </w:p>
        </w:tc>
      </w:tr>
      <w:tr w:rsidR="00733204" w:rsidRPr="00265B51" w:rsidTr="00C4602E">
        <w:trPr>
          <w:cnfStyle w:val="000000100000" w:firstRow="0" w:lastRow="0" w:firstColumn="0" w:lastColumn="0" w:oddVBand="0" w:evenVBand="0" w:oddHBand="1" w:evenHBand="0" w:firstRowFirstColumn="0" w:firstRowLastColumn="0" w:lastRowFirstColumn="0" w:lastRowLastColumn="0"/>
          <w:trHeight w:val="300"/>
          <w:jc w:val="center"/>
        </w:trPr>
        <w:tc>
          <w:tcPr>
            <w:tcW w:w="4848" w:type="dxa"/>
            <w:gridSpan w:val="3"/>
            <w:tcBorders>
              <w:top w:val="nil"/>
              <w:bottom w:val="nil"/>
            </w:tcBorders>
            <w:shd w:val="clear" w:color="auto" w:fill="auto"/>
            <w:noWrap/>
            <w:hideMark/>
          </w:tcPr>
          <w:p w:rsidR="00733204" w:rsidRPr="00265B51" w:rsidRDefault="00733204" w:rsidP="00D20B22">
            <w:pPr>
              <w:pStyle w:val="09TablatextoFuente"/>
            </w:pPr>
            <w:r w:rsidRPr="00265B51">
              <w:t>Fuente: Directorio de Tiendas, DICONSA</w:t>
            </w:r>
            <w:r>
              <w:t>,</w:t>
            </w:r>
            <w:r w:rsidRPr="00265B51">
              <w:t xml:space="preserve"> S.A. DE C.V. </w:t>
            </w:r>
            <w:r>
              <w:t xml:space="preserve">corte </w:t>
            </w:r>
            <w:r w:rsidRPr="00265B51">
              <w:t xml:space="preserve">a </w:t>
            </w:r>
            <w:r w:rsidR="00D20B22">
              <w:t>marzo</w:t>
            </w:r>
            <w:r>
              <w:t xml:space="preserve"> </w:t>
            </w:r>
            <w:r w:rsidR="00D20B22">
              <w:t>2013</w:t>
            </w:r>
            <w:r w:rsidRPr="00265B51">
              <w:t>.</w:t>
            </w:r>
          </w:p>
        </w:tc>
      </w:tr>
    </w:tbl>
    <w:p w:rsidR="00EF249C" w:rsidRDefault="00EF249C" w:rsidP="00733204">
      <w:pPr>
        <w:pStyle w:val="04TextoN"/>
      </w:pPr>
    </w:p>
    <w:p w:rsidR="00D20B22" w:rsidRDefault="00D20B22" w:rsidP="00733204">
      <w:pPr>
        <w:pStyle w:val="04TextoN"/>
      </w:pPr>
    </w:p>
    <w:p w:rsidR="00D20B22" w:rsidRDefault="00D20B22" w:rsidP="00733204">
      <w:pPr>
        <w:pStyle w:val="04TextoN"/>
      </w:pPr>
    </w:p>
    <w:p w:rsidR="00733204" w:rsidRPr="00D20B22" w:rsidRDefault="00733204" w:rsidP="00D20B22">
      <w:pPr>
        <w:pStyle w:val="03ST"/>
        <w:spacing w:after="240"/>
      </w:pPr>
      <w:r w:rsidRPr="00733204">
        <w:lastRenderedPageBreak/>
        <w:t>Metas</w:t>
      </w:r>
    </w:p>
    <w:p w:rsidR="00733204" w:rsidRPr="00733204" w:rsidRDefault="00733204" w:rsidP="00D20B22">
      <w:pPr>
        <w:pStyle w:val="04TextoN"/>
        <w:spacing w:before="240" w:after="240"/>
      </w:pPr>
      <w:r w:rsidRPr="00733204">
        <w:t xml:space="preserve">Las metas de cobertura en localidades objetivo al </w:t>
      </w:r>
      <w:r w:rsidR="00D20B22" w:rsidRPr="00AA7A77">
        <w:t>primer</w:t>
      </w:r>
      <w:r w:rsidRPr="00AA7A77">
        <w:t xml:space="preserve"> trimestre de 201</w:t>
      </w:r>
      <w:r w:rsidR="00D20B22" w:rsidRPr="00AA7A77">
        <w:t>3</w:t>
      </w:r>
      <w:r w:rsidRPr="00AA7A77">
        <w:t xml:space="preserve"> fueron</w:t>
      </w:r>
      <w:r w:rsidRPr="00733204">
        <w:t xml:space="preserve"> alcanzadas, ya que en las sucursales y unidades operativas se dio prioridad de apertura de tiendas nuevas en dichas localidades.</w:t>
      </w:r>
    </w:p>
    <w:p w:rsidR="00733204" w:rsidRDefault="00733204" w:rsidP="00D20B22">
      <w:pPr>
        <w:pStyle w:val="04TextoN"/>
        <w:spacing w:before="240" w:after="240"/>
      </w:pPr>
      <w:r w:rsidRPr="00733204">
        <w:t xml:space="preserve">El hecho de que DICONSA tenga un mayor número de tiendas, tiene efectos positivos en la población que habita en las localidades atendidas al posibilitar el abasto suficiente de los productos preferentemente en las marcas y presentaciones que demandan, evitarles gastos de traslado a otras comunidades para obtener los productos y servicios que requieren, que puedan dedicar ese tiempo en actividades que les reditúen un beneficio económico o en la atención de su familia, protegerlos de que el comercio local eleve los precios de los productos en detrimento de su economía y generarles un ahorro monetario al comprar en las tiendas DICONSA que pueden utilizar para sus otras necesidades. </w:t>
      </w:r>
    </w:p>
    <w:p w:rsidR="00AA7A77" w:rsidRDefault="00AA7A77" w:rsidP="00D20B22">
      <w:pPr>
        <w:pStyle w:val="04TextoN"/>
        <w:spacing w:before="240" w:after="240"/>
      </w:pPr>
    </w:p>
    <w:bookmarkStart w:id="0" w:name="_MON_1457527186"/>
    <w:bookmarkEnd w:id="0"/>
    <w:p w:rsidR="001B1EE1" w:rsidRDefault="00786AB4" w:rsidP="001B1EE1">
      <w:pPr>
        <w:pStyle w:val="10Imagenescentradas"/>
      </w:pPr>
      <w:r>
        <w:object w:dxaOrig="10742" w:dyaOrig="5884">
          <v:shape id="_x0000_i1025" type="#_x0000_t75" style="width:496.5pt;height:293.25pt" o:ole="">
            <v:imagedata r:id="rId8" o:title=""/>
          </v:shape>
          <o:OLEObject Type="Embed" ProgID="Excel.Sheet.12" ShapeID="_x0000_i1025" DrawAspect="Content" ObjectID="_1457527389" r:id="rId9"/>
        </w:object>
      </w:r>
    </w:p>
    <w:p w:rsidR="00D4104C" w:rsidRDefault="00D4104C" w:rsidP="00D4104C">
      <w:pPr>
        <w:pStyle w:val="03ST"/>
        <w:spacing w:after="240"/>
      </w:pPr>
    </w:p>
    <w:p w:rsidR="00500DE2" w:rsidRDefault="002B7728" w:rsidP="00D4104C">
      <w:pPr>
        <w:pStyle w:val="03ST"/>
        <w:spacing w:after="240"/>
      </w:pPr>
      <w:r w:rsidRPr="00D4104C">
        <w:t>CRUZADA</w:t>
      </w:r>
      <w:r w:rsidR="00D4104C">
        <w:t xml:space="preserve"> NACIONAL CONTRA EL HAMBRE</w:t>
      </w:r>
    </w:p>
    <w:p w:rsidR="00500DE2" w:rsidRDefault="00D4104C" w:rsidP="00EF249C">
      <w:pPr>
        <w:pStyle w:val="04TextoN"/>
      </w:pPr>
      <w:r>
        <w:t>No se tienen avances que reportar al primer trimestre.</w:t>
      </w:r>
    </w:p>
    <w:p w:rsidR="00500DE2" w:rsidRDefault="00500DE2" w:rsidP="00EF249C">
      <w:pPr>
        <w:pStyle w:val="04TextoN"/>
      </w:pPr>
    </w:p>
    <w:p w:rsidR="00EF249C" w:rsidRDefault="00EF249C" w:rsidP="00EF249C">
      <w:pPr>
        <w:pStyle w:val="01Fraccion"/>
        <w:spacing w:before="360" w:line="320" w:lineRule="exact"/>
      </w:pPr>
      <w:r>
        <w:rPr>
          <w:rFonts w:cs="Times New Roman"/>
          <w:bCs/>
          <w:szCs w:val="26"/>
        </w:rPr>
        <w:lastRenderedPageBreak/>
        <w:t>X.</w:t>
      </w:r>
      <w:r>
        <w:rPr>
          <w:rFonts w:cs="Times New Roman"/>
          <w:bCs/>
          <w:szCs w:val="26"/>
        </w:rPr>
        <w:tab/>
        <w:t>Reportar su ejercicio, detallando los elementos a que se refieren las fracciones I a IX, incluyendo el importe de los recursos</w:t>
      </w:r>
    </w:p>
    <w:p w:rsidR="00733204" w:rsidRPr="00265B51" w:rsidRDefault="00733204" w:rsidP="00733204">
      <w:pPr>
        <w:pStyle w:val="02T1"/>
      </w:pPr>
      <w:r w:rsidRPr="00265B51">
        <w:t>Situación Presupuestal</w:t>
      </w:r>
    </w:p>
    <w:p w:rsidR="00B41866" w:rsidRDefault="00733204" w:rsidP="00B41866">
      <w:pPr>
        <w:pStyle w:val="01Fraccion"/>
        <w:spacing w:before="240" w:after="240" w:line="320" w:lineRule="exact"/>
        <w:ind w:left="0" w:firstLine="0"/>
        <w:rPr>
          <w:rFonts w:ascii="Adobe Caslon Pro" w:hAnsi="Adobe Caslon Pro" w:cs="Arial"/>
          <w:b w:val="0"/>
          <w:caps w:val="0"/>
          <w:color w:val="auto"/>
          <w:sz w:val="24"/>
        </w:rPr>
      </w:pPr>
      <w:r w:rsidRPr="002A62C9">
        <w:rPr>
          <w:rFonts w:ascii="Adobe Caslon Pro" w:hAnsi="Adobe Caslon Pro" w:cs="Arial"/>
          <w:b w:val="0"/>
          <w:caps w:val="0"/>
          <w:color w:val="auto"/>
          <w:sz w:val="24"/>
        </w:rPr>
        <w:t>El monto de recursos fiscales asignado en el Presupuesto de Egresos de la Federación al Programa de Abasto Rural a cargo de DICONSA para el año 2013 ascendió a 1</w:t>
      </w:r>
      <w:proofErr w:type="gramStart"/>
      <w:r w:rsidR="00786AB4">
        <w:rPr>
          <w:rFonts w:ascii="Adobe Caslon Pro" w:hAnsi="Adobe Caslon Pro" w:cs="Arial"/>
          <w:b w:val="0"/>
          <w:caps w:val="0"/>
          <w:color w:val="auto"/>
          <w:sz w:val="24"/>
        </w:rPr>
        <w:t>,</w:t>
      </w:r>
      <w:r w:rsidRPr="002A62C9">
        <w:rPr>
          <w:rFonts w:ascii="Adobe Caslon Pro" w:hAnsi="Adobe Caslon Pro" w:cs="Arial"/>
          <w:b w:val="0"/>
          <w:caps w:val="0"/>
          <w:color w:val="auto"/>
          <w:sz w:val="24"/>
        </w:rPr>
        <w:t>858</w:t>
      </w:r>
      <w:r w:rsidR="00786AB4">
        <w:rPr>
          <w:rFonts w:ascii="Adobe Caslon Pro" w:hAnsi="Adobe Caslon Pro" w:cs="Arial"/>
          <w:b w:val="0"/>
          <w:caps w:val="0"/>
          <w:color w:val="auto"/>
          <w:sz w:val="24"/>
        </w:rPr>
        <w:t>,</w:t>
      </w:r>
      <w:r w:rsidRPr="002A62C9">
        <w:rPr>
          <w:rFonts w:ascii="Adobe Caslon Pro" w:hAnsi="Adobe Caslon Pro" w:cs="Arial"/>
          <w:b w:val="0"/>
          <w:caps w:val="0"/>
          <w:color w:val="auto"/>
          <w:sz w:val="24"/>
        </w:rPr>
        <w:t>860</w:t>
      </w:r>
      <w:proofErr w:type="gramEnd"/>
      <w:r w:rsidRPr="002A62C9">
        <w:rPr>
          <w:rFonts w:ascii="Adobe Caslon Pro" w:hAnsi="Adobe Caslon Pro" w:cs="Arial"/>
          <w:b w:val="0"/>
          <w:caps w:val="0"/>
          <w:color w:val="auto"/>
          <w:sz w:val="24"/>
        </w:rPr>
        <w:t xml:space="preserve"> mil pesos. </w:t>
      </w:r>
      <w:r w:rsidR="00B41866">
        <w:rPr>
          <w:rFonts w:ascii="Adobe Caslon Pro" w:hAnsi="Adobe Caslon Pro" w:cs="Arial"/>
          <w:b w:val="0"/>
          <w:caps w:val="0"/>
          <w:color w:val="auto"/>
          <w:sz w:val="24"/>
        </w:rPr>
        <w:t>E</w:t>
      </w:r>
      <w:r w:rsidRPr="002A62C9">
        <w:rPr>
          <w:rFonts w:ascii="Adobe Caslon Pro" w:hAnsi="Adobe Caslon Pro" w:cs="Arial"/>
          <w:b w:val="0"/>
          <w:caps w:val="0"/>
          <w:color w:val="auto"/>
          <w:sz w:val="24"/>
        </w:rPr>
        <w:t xml:space="preserve">l 100 por ciento de los mismos fueron etiquetados para la adquisición de bienes para </w:t>
      </w:r>
      <w:r w:rsidR="00B41866" w:rsidRPr="00B41866">
        <w:rPr>
          <w:rFonts w:ascii="Adobe Caslon Pro" w:hAnsi="Adobe Caslon Pro" w:cs="Arial"/>
          <w:b w:val="0"/>
          <w:caps w:val="0"/>
          <w:color w:val="auto"/>
          <w:sz w:val="24"/>
        </w:rPr>
        <w:t>gasto corriente</w:t>
      </w:r>
      <w:r w:rsidRPr="002A62C9">
        <w:rPr>
          <w:rFonts w:ascii="Adobe Caslon Pro" w:hAnsi="Adobe Caslon Pro" w:cs="Arial"/>
          <w:b w:val="0"/>
          <w:caps w:val="0"/>
          <w:color w:val="auto"/>
          <w:sz w:val="24"/>
        </w:rPr>
        <w:t xml:space="preserve">. Al primer trimestre </w:t>
      </w:r>
      <w:r w:rsidR="00B41866">
        <w:rPr>
          <w:rFonts w:ascii="Adobe Caslon Pro" w:hAnsi="Adobe Caslon Pro" w:cs="Arial"/>
          <w:b w:val="0"/>
          <w:caps w:val="0"/>
          <w:color w:val="auto"/>
          <w:sz w:val="24"/>
        </w:rPr>
        <w:t xml:space="preserve">del año </w:t>
      </w:r>
      <w:r w:rsidRPr="002A62C9">
        <w:rPr>
          <w:rFonts w:ascii="Adobe Caslon Pro" w:hAnsi="Adobe Caslon Pro" w:cs="Arial"/>
          <w:b w:val="0"/>
          <w:caps w:val="0"/>
          <w:color w:val="auto"/>
          <w:sz w:val="24"/>
        </w:rPr>
        <w:t>el presupuesto no ha sido modificado.</w:t>
      </w:r>
    </w:p>
    <w:p w:rsidR="00733204" w:rsidRPr="002A62C9" w:rsidRDefault="00B41866" w:rsidP="00B41866">
      <w:pPr>
        <w:pStyle w:val="01Fraccion"/>
        <w:spacing w:before="240" w:after="240" w:line="320" w:lineRule="exact"/>
        <w:ind w:left="0" w:firstLine="0"/>
        <w:rPr>
          <w:rFonts w:ascii="Adobe Caslon Pro" w:hAnsi="Adobe Caslon Pro" w:cs="Arial"/>
          <w:b w:val="0"/>
          <w:caps w:val="0"/>
          <w:color w:val="auto"/>
          <w:sz w:val="24"/>
        </w:rPr>
      </w:pPr>
      <w:r>
        <w:rPr>
          <w:rFonts w:ascii="Adobe Caslon Pro" w:hAnsi="Adobe Caslon Pro" w:cs="Arial"/>
          <w:b w:val="0"/>
          <w:caps w:val="0"/>
          <w:color w:val="auto"/>
          <w:sz w:val="24"/>
        </w:rPr>
        <w:t>L</w:t>
      </w:r>
      <w:r w:rsidR="00733204" w:rsidRPr="002A62C9">
        <w:rPr>
          <w:rFonts w:ascii="Adobe Caslon Pro" w:hAnsi="Adobe Caslon Pro" w:cs="Arial"/>
          <w:b w:val="0"/>
          <w:caps w:val="0"/>
          <w:color w:val="auto"/>
          <w:sz w:val="24"/>
        </w:rPr>
        <w:t>os recursos calendarizados al primer trimestre de 2013 por 723</w:t>
      </w:r>
      <w:r w:rsidR="00786AB4">
        <w:rPr>
          <w:rFonts w:ascii="Adobe Caslon Pro" w:hAnsi="Adobe Caslon Pro" w:cs="Arial"/>
          <w:b w:val="0"/>
          <w:caps w:val="0"/>
          <w:color w:val="auto"/>
          <w:sz w:val="24"/>
        </w:rPr>
        <w:t>,</w:t>
      </w:r>
      <w:bookmarkStart w:id="1" w:name="_GoBack"/>
      <w:bookmarkEnd w:id="1"/>
      <w:r w:rsidRPr="002A62C9">
        <w:rPr>
          <w:rFonts w:ascii="Adobe Caslon Pro" w:hAnsi="Adobe Caslon Pro" w:cs="Arial"/>
          <w:b w:val="0"/>
          <w:caps w:val="0"/>
          <w:color w:val="auto"/>
          <w:sz w:val="24"/>
        </w:rPr>
        <w:t xml:space="preserve">080 mil pesos se radicaron  en su totalidad, </w:t>
      </w:r>
      <w:r>
        <w:rPr>
          <w:rFonts w:ascii="Adobe Caslon Pro" w:hAnsi="Adobe Caslon Pro" w:cs="Arial"/>
          <w:b w:val="0"/>
          <w:caps w:val="0"/>
          <w:color w:val="auto"/>
          <w:sz w:val="24"/>
        </w:rPr>
        <w:t xml:space="preserve"> </w:t>
      </w:r>
      <w:r w:rsidRPr="002A62C9">
        <w:rPr>
          <w:rFonts w:ascii="Adobe Caslon Pro" w:hAnsi="Adobe Caslon Pro" w:cs="Arial"/>
          <w:b w:val="0"/>
          <w:caps w:val="0"/>
          <w:color w:val="auto"/>
          <w:sz w:val="24"/>
        </w:rPr>
        <w:t>presentando un avance presupuestal del periodo del 100 por ciento.</w:t>
      </w:r>
    </w:p>
    <w:tbl>
      <w:tblPr>
        <w:tblW w:w="0" w:type="auto"/>
        <w:tblCellMar>
          <w:left w:w="70" w:type="dxa"/>
          <w:right w:w="70" w:type="dxa"/>
        </w:tblCellMar>
        <w:tblLook w:val="00A0" w:firstRow="1" w:lastRow="0" w:firstColumn="1" w:lastColumn="0" w:noHBand="0" w:noVBand="0"/>
      </w:tblPr>
      <w:tblGrid>
        <w:gridCol w:w="3304"/>
        <w:gridCol w:w="1481"/>
        <w:gridCol w:w="1295"/>
        <w:gridCol w:w="1567"/>
        <w:gridCol w:w="1273"/>
        <w:gridCol w:w="1192"/>
      </w:tblGrid>
      <w:tr w:rsidR="002A62C9" w:rsidRPr="00CE7AC9" w:rsidTr="002A62C9">
        <w:trPr>
          <w:trHeight w:val="1260"/>
        </w:trPr>
        <w:tc>
          <w:tcPr>
            <w:tcW w:w="0" w:type="auto"/>
            <w:gridSpan w:val="6"/>
            <w:tcBorders>
              <w:top w:val="nil"/>
              <w:left w:val="nil"/>
              <w:bottom w:val="nil"/>
              <w:right w:val="nil"/>
            </w:tcBorders>
            <w:shd w:val="clear" w:color="000000" w:fill="333399"/>
            <w:vAlign w:val="center"/>
          </w:tcPr>
          <w:p w:rsidR="002A62C9" w:rsidRPr="00CE7AC9" w:rsidRDefault="002A62C9" w:rsidP="006E392E">
            <w:pPr>
              <w:jc w:val="center"/>
              <w:rPr>
                <w:rFonts w:ascii="Arial" w:hAnsi="Arial" w:cs="Arial"/>
                <w:b/>
                <w:bCs/>
                <w:color w:val="CCCCFF"/>
                <w:sz w:val="16"/>
                <w:szCs w:val="16"/>
              </w:rPr>
            </w:pPr>
            <w:r w:rsidRPr="00CE7AC9">
              <w:rPr>
                <w:rFonts w:ascii="Arial" w:hAnsi="Arial" w:cs="Arial"/>
                <w:b/>
                <w:bCs/>
                <w:color w:val="CCCCFF"/>
                <w:sz w:val="16"/>
                <w:szCs w:val="16"/>
              </w:rPr>
              <w:t xml:space="preserve">PRESUPUESTO EJERCIDO ENTREGADO O DIRIGIDO A LOS BENEFICIARIOS </w:t>
            </w:r>
            <w:r w:rsidRPr="00CE7AC9">
              <w:rPr>
                <w:rFonts w:ascii="Arial" w:hAnsi="Arial" w:cs="Arial"/>
                <w:b/>
                <w:bCs/>
                <w:color w:val="CCCCFF"/>
                <w:sz w:val="16"/>
                <w:szCs w:val="16"/>
              </w:rPr>
              <w:br/>
              <w:t xml:space="preserve">A NIVEL DE CAPÍTULO Y CONCEPTO DE GASTO  </w:t>
            </w:r>
            <w:r w:rsidRPr="00CE7AC9">
              <w:rPr>
                <w:rFonts w:ascii="Arial" w:hAnsi="Arial" w:cs="Arial"/>
                <w:b/>
                <w:bCs/>
                <w:color w:val="CCCCFF"/>
                <w:sz w:val="16"/>
                <w:szCs w:val="16"/>
              </w:rPr>
              <w:br/>
              <w:t>-  RECURSOS FISCALES  -</w:t>
            </w:r>
          </w:p>
        </w:tc>
      </w:tr>
      <w:tr w:rsidR="002A62C9" w:rsidRPr="00CE7AC9" w:rsidTr="006E392E">
        <w:trPr>
          <w:trHeight w:val="402"/>
        </w:trPr>
        <w:tc>
          <w:tcPr>
            <w:tcW w:w="0" w:type="auto"/>
            <w:tcBorders>
              <w:top w:val="nil"/>
              <w:left w:val="nil"/>
              <w:bottom w:val="nil"/>
              <w:right w:val="nil"/>
            </w:tcBorders>
            <w:shd w:val="clear" w:color="000000" w:fill="333399"/>
            <w:noWrap/>
            <w:vAlign w:val="bottom"/>
          </w:tcPr>
          <w:p w:rsidR="002A62C9" w:rsidRPr="00CE7AC9" w:rsidRDefault="002A62C9" w:rsidP="006E392E">
            <w:pPr>
              <w:rPr>
                <w:rFonts w:ascii="Arial" w:hAnsi="Arial" w:cs="Arial"/>
                <w:b/>
                <w:bCs/>
                <w:color w:val="CCCCFF"/>
                <w:sz w:val="16"/>
                <w:szCs w:val="16"/>
              </w:rPr>
            </w:pPr>
            <w:r w:rsidRPr="00CE7AC9">
              <w:rPr>
                <w:rFonts w:ascii="Arial" w:hAnsi="Arial" w:cs="Arial"/>
                <w:b/>
                <w:bCs/>
                <w:color w:val="CCCCFF"/>
                <w:sz w:val="16"/>
                <w:szCs w:val="16"/>
              </w:rPr>
              <w:t>Periodo: Enero-</w:t>
            </w:r>
            <w:r>
              <w:rPr>
                <w:rFonts w:ascii="Arial" w:hAnsi="Arial" w:cs="Arial"/>
                <w:b/>
                <w:bCs/>
                <w:color w:val="CCCCFF"/>
                <w:sz w:val="16"/>
                <w:szCs w:val="16"/>
              </w:rPr>
              <w:t>Marzo  2013</w:t>
            </w:r>
          </w:p>
        </w:tc>
        <w:tc>
          <w:tcPr>
            <w:tcW w:w="0" w:type="auto"/>
            <w:gridSpan w:val="2"/>
            <w:tcBorders>
              <w:top w:val="nil"/>
              <w:left w:val="nil"/>
              <w:bottom w:val="nil"/>
              <w:right w:val="nil"/>
            </w:tcBorders>
            <w:shd w:val="clear" w:color="000000" w:fill="333399"/>
            <w:noWrap/>
            <w:vAlign w:val="bottom"/>
          </w:tcPr>
          <w:p w:rsidR="002A62C9" w:rsidRPr="00CE7AC9" w:rsidRDefault="002A62C9" w:rsidP="006E392E">
            <w:pPr>
              <w:jc w:val="right"/>
              <w:rPr>
                <w:rFonts w:ascii="Arial" w:hAnsi="Arial" w:cs="Arial"/>
                <w:b/>
                <w:bCs/>
                <w:color w:val="CCCCFF"/>
                <w:sz w:val="16"/>
                <w:szCs w:val="16"/>
              </w:rPr>
            </w:pPr>
            <w:r w:rsidRPr="00CE7AC9">
              <w:rPr>
                <w:rFonts w:ascii="Arial" w:hAnsi="Arial" w:cs="Arial"/>
                <w:b/>
                <w:bCs/>
                <w:color w:val="CCCCFF"/>
                <w:sz w:val="16"/>
                <w:szCs w:val="16"/>
              </w:rPr>
              <w:t>Cifras Preliminares</w:t>
            </w:r>
          </w:p>
        </w:tc>
        <w:tc>
          <w:tcPr>
            <w:tcW w:w="0" w:type="auto"/>
            <w:gridSpan w:val="3"/>
            <w:tcBorders>
              <w:top w:val="nil"/>
              <w:left w:val="nil"/>
              <w:bottom w:val="nil"/>
              <w:right w:val="nil"/>
            </w:tcBorders>
            <w:shd w:val="clear" w:color="000000" w:fill="333399"/>
            <w:noWrap/>
            <w:vAlign w:val="bottom"/>
          </w:tcPr>
          <w:p w:rsidR="002A62C9" w:rsidRPr="00CE7AC9" w:rsidRDefault="002A62C9" w:rsidP="00B41866">
            <w:pPr>
              <w:jc w:val="right"/>
              <w:rPr>
                <w:rFonts w:ascii="Arial" w:hAnsi="Arial" w:cs="Arial"/>
                <w:b/>
                <w:bCs/>
                <w:color w:val="CCCCFF"/>
                <w:sz w:val="16"/>
                <w:szCs w:val="16"/>
              </w:rPr>
            </w:pPr>
            <w:r>
              <w:rPr>
                <w:rFonts w:ascii="Arial" w:hAnsi="Arial" w:cs="Arial"/>
                <w:b/>
                <w:bCs/>
                <w:color w:val="CCCCFF"/>
                <w:sz w:val="16"/>
                <w:szCs w:val="16"/>
              </w:rPr>
              <w:t>Fecha de corte: 3</w:t>
            </w:r>
            <w:r w:rsidR="00B41866">
              <w:rPr>
                <w:rFonts w:ascii="Arial" w:hAnsi="Arial" w:cs="Arial"/>
                <w:b/>
                <w:bCs/>
                <w:color w:val="CCCCFF"/>
                <w:sz w:val="16"/>
                <w:szCs w:val="16"/>
              </w:rPr>
              <w:t>1</w:t>
            </w:r>
            <w:r w:rsidRPr="00CE7AC9">
              <w:rPr>
                <w:rFonts w:ascii="Arial" w:hAnsi="Arial" w:cs="Arial"/>
                <w:b/>
                <w:bCs/>
                <w:color w:val="CCCCFF"/>
                <w:sz w:val="16"/>
                <w:szCs w:val="16"/>
              </w:rPr>
              <w:t xml:space="preserve"> de </w:t>
            </w:r>
            <w:r>
              <w:rPr>
                <w:rFonts w:ascii="Arial" w:hAnsi="Arial" w:cs="Arial"/>
                <w:b/>
                <w:bCs/>
                <w:color w:val="CCCCFF"/>
                <w:sz w:val="16"/>
                <w:szCs w:val="16"/>
              </w:rPr>
              <w:t>Marzo de 2013</w:t>
            </w:r>
          </w:p>
        </w:tc>
      </w:tr>
      <w:tr w:rsidR="002A62C9" w:rsidRPr="00CE7AC9" w:rsidTr="006E392E">
        <w:trPr>
          <w:trHeight w:val="222"/>
        </w:trPr>
        <w:tc>
          <w:tcPr>
            <w:tcW w:w="0" w:type="auto"/>
            <w:tcBorders>
              <w:top w:val="nil"/>
              <w:left w:val="nil"/>
              <w:bottom w:val="single" w:sz="4" w:space="0" w:color="auto"/>
              <w:right w:val="nil"/>
            </w:tcBorders>
            <w:noWrap/>
            <w:vAlign w:val="bottom"/>
          </w:tcPr>
          <w:p w:rsidR="002A62C9" w:rsidRPr="00CE7AC9" w:rsidRDefault="002A62C9" w:rsidP="006E392E">
            <w:pPr>
              <w:rPr>
                <w:rFonts w:ascii="Arial" w:hAnsi="Arial" w:cs="Arial"/>
                <w:b/>
                <w:bCs/>
                <w:color w:val="FFFFFF"/>
                <w:sz w:val="16"/>
                <w:szCs w:val="16"/>
              </w:rPr>
            </w:pPr>
            <w:r w:rsidRPr="00CE7AC9">
              <w:rPr>
                <w:rFonts w:ascii="Arial" w:hAnsi="Arial" w:cs="Arial"/>
                <w:b/>
                <w:bCs/>
                <w:color w:val="FFFFFF"/>
                <w:sz w:val="16"/>
                <w:szCs w:val="16"/>
              </w:rPr>
              <w:t> </w:t>
            </w:r>
          </w:p>
        </w:tc>
        <w:tc>
          <w:tcPr>
            <w:tcW w:w="0" w:type="auto"/>
            <w:gridSpan w:val="2"/>
            <w:tcBorders>
              <w:top w:val="nil"/>
              <w:left w:val="nil"/>
              <w:bottom w:val="single" w:sz="4" w:space="0" w:color="auto"/>
              <w:right w:val="nil"/>
            </w:tcBorders>
            <w:noWrap/>
            <w:vAlign w:val="bottom"/>
          </w:tcPr>
          <w:p w:rsidR="002A62C9" w:rsidRPr="00CE7AC9" w:rsidRDefault="002A62C9" w:rsidP="006E392E">
            <w:pPr>
              <w:jc w:val="right"/>
              <w:rPr>
                <w:rFonts w:ascii="Arial" w:hAnsi="Arial" w:cs="Arial"/>
                <w:b/>
                <w:bCs/>
                <w:color w:val="FFFFFF"/>
                <w:sz w:val="16"/>
                <w:szCs w:val="16"/>
              </w:rPr>
            </w:pPr>
            <w:r w:rsidRPr="00CE7AC9">
              <w:rPr>
                <w:rFonts w:ascii="Arial" w:hAnsi="Arial" w:cs="Arial"/>
                <w:b/>
                <w:bCs/>
                <w:color w:val="FFFFFF"/>
                <w:sz w:val="16"/>
                <w:szCs w:val="16"/>
              </w:rPr>
              <w:t> </w:t>
            </w:r>
          </w:p>
        </w:tc>
        <w:tc>
          <w:tcPr>
            <w:tcW w:w="0" w:type="auto"/>
            <w:gridSpan w:val="3"/>
            <w:tcBorders>
              <w:top w:val="nil"/>
              <w:left w:val="nil"/>
              <w:bottom w:val="single" w:sz="4" w:space="0" w:color="auto"/>
              <w:right w:val="nil"/>
            </w:tcBorders>
            <w:noWrap/>
            <w:vAlign w:val="bottom"/>
          </w:tcPr>
          <w:p w:rsidR="002A62C9" w:rsidRPr="00CE7AC9" w:rsidRDefault="002A62C9" w:rsidP="006E392E">
            <w:pPr>
              <w:jc w:val="right"/>
              <w:rPr>
                <w:rFonts w:ascii="Arial" w:hAnsi="Arial" w:cs="Arial"/>
                <w:b/>
                <w:bCs/>
                <w:color w:val="FFFFFF"/>
                <w:sz w:val="16"/>
                <w:szCs w:val="16"/>
              </w:rPr>
            </w:pPr>
            <w:r w:rsidRPr="00CE7AC9">
              <w:rPr>
                <w:rFonts w:ascii="Arial" w:hAnsi="Arial" w:cs="Arial"/>
                <w:b/>
                <w:bCs/>
                <w:color w:val="FFFFFF"/>
                <w:sz w:val="16"/>
                <w:szCs w:val="16"/>
              </w:rPr>
              <w:t> </w:t>
            </w:r>
          </w:p>
        </w:tc>
      </w:tr>
      <w:tr w:rsidR="002A62C9" w:rsidRPr="007E501D" w:rsidTr="006E392E">
        <w:trPr>
          <w:trHeight w:val="360"/>
        </w:trPr>
        <w:tc>
          <w:tcPr>
            <w:tcW w:w="0" w:type="auto"/>
            <w:vMerge w:val="restart"/>
            <w:tcBorders>
              <w:top w:val="nil"/>
              <w:left w:val="single" w:sz="4" w:space="0" w:color="auto"/>
              <w:bottom w:val="single" w:sz="4" w:space="0" w:color="000000"/>
              <w:right w:val="nil"/>
            </w:tcBorders>
            <w:shd w:val="clear" w:color="000000" w:fill="0066CC"/>
            <w:vAlign w:val="center"/>
          </w:tcPr>
          <w:p w:rsidR="002A62C9" w:rsidRPr="007E501D" w:rsidRDefault="002A62C9" w:rsidP="006E392E">
            <w:pPr>
              <w:jc w:val="center"/>
              <w:rPr>
                <w:rFonts w:ascii="Arial" w:hAnsi="Arial" w:cs="Arial"/>
                <w:b/>
                <w:bCs/>
                <w:color w:val="FFFFFF"/>
                <w:sz w:val="16"/>
                <w:szCs w:val="16"/>
              </w:rPr>
            </w:pPr>
            <w:r w:rsidRPr="007E501D">
              <w:rPr>
                <w:rFonts w:ascii="Arial" w:hAnsi="Arial" w:cs="Arial"/>
                <w:b/>
                <w:bCs/>
                <w:color w:val="FFFFFF"/>
                <w:sz w:val="16"/>
                <w:szCs w:val="16"/>
              </w:rPr>
              <w:t>Capítulo y concepto de gasto</w:t>
            </w:r>
          </w:p>
        </w:tc>
        <w:tc>
          <w:tcPr>
            <w:tcW w:w="0" w:type="auto"/>
            <w:gridSpan w:val="5"/>
            <w:tcBorders>
              <w:top w:val="single" w:sz="4" w:space="0" w:color="auto"/>
              <w:left w:val="single" w:sz="4" w:space="0" w:color="auto"/>
              <w:bottom w:val="single" w:sz="4" w:space="0" w:color="auto"/>
              <w:right w:val="single" w:sz="4" w:space="0" w:color="000000"/>
            </w:tcBorders>
            <w:shd w:val="clear" w:color="000000" w:fill="0066CC"/>
            <w:vAlign w:val="center"/>
          </w:tcPr>
          <w:p w:rsidR="002A62C9" w:rsidRPr="007E501D" w:rsidRDefault="002A62C9" w:rsidP="006E392E">
            <w:pPr>
              <w:jc w:val="center"/>
              <w:rPr>
                <w:rFonts w:ascii="Arial" w:hAnsi="Arial" w:cs="Arial"/>
                <w:b/>
                <w:bCs/>
                <w:color w:val="FFFFFF"/>
                <w:sz w:val="16"/>
                <w:szCs w:val="16"/>
              </w:rPr>
            </w:pPr>
            <w:r w:rsidRPr="007E501D">
              <w:rPr>
                <w:rFonts w:ascii="Arial" w:hAnsi="Arial" w:cs="Arial"/>
                <w:b/>
                <w:bCs/>
                <w:color w:val="FFFFFF"/>
                <w:sz w:val="16"/>
                <w:szCs w:val="16"/>
              </w:rPr>
              <w:t>Presupuesto  (pesos)</w:t>
            </w:r>
          </w:p>
        </w:tc>
      </w:tr>
      <w:tr w:rsidR="002A62C9" w:rsidRPr="007E501D" w:rsidTr="006E392E">
        <w:trPr>
          <w:trHeight w:val="798"/>
        </w:trPr>
        <w:tc>
          <w:tcPr>
            <w:tcW w:w="0" w:type="auto"/>
            <w:vMerge/>
            <w:tcBorders>
              <w:top w:val="nil"/>
              <w:left w:val="single" w:sz="4" w:space="0" w:color="auto"/>
              <w:bottom w:val="single" w:sz="4" w:space="0" w:color="000000"/>
              <w:right w:val="nil"/>
            </w:tcBorders>
            <w:vAlign w:val="center"/>
          </w:tcPr>
          <w:p w:rsidR="002A62C9" w:rsidRPr="007E501D" w:rsidRDefault="002A62C9" w:rsidP="006E392E">
            <w:pPr>
              <w:rPr>
                <w:rFonts w:ascii="Arial" w:hAnsi="Arial" w:cs="Arial"/>
                <w:b/>
                <w:bCs/>
                <w:color w:val="FFFFFF"/>
                <w:sz w:val="16"/>
                <w:szCs w:val="16"/>
              </w:rPr>
            </w:pPr>
          </w:p>
        </w:tc>
        <w:tc>
          <w:tcPr>
            <w:tcW w:w="0" w:type="auto"/>
            <w:tcBorders>
              <w:top w:val="nil"/>
              <w:left w:val="single" w:sz="4" w:space="0" w:color="auto"/>
              <w:bottom w:val="nil"/>
              <w:right w:val="single" w:sz="4" w:space="0" w:color="auto"/>
            </w:tcBorders>
            <w:shd w:val="clear" w:color="000000" w:fill="0066CC"/>
            <w:vAlign w:val="center"/>
          </w:tcPr>
          <w:p w:rsidR="002A62C9" w:rsidRPr="007E501D" w:rsidRDefault="002A62C9" w:rsidP="006E392E">
            <w:pPr>
              <w:jc w:val="center"/>
              <w:rPr>
                <w:rFonts w:ascii="Arial" w:hAnsi="Arial" w:cs="Arial"/>
                <w:b/>
                <w:bCs/>
                <w:color w:val="FFFFFF"/>
                <w:sz w:val="16"/>
                <w:szCs w:val="16"/>
              </w:rPr>
            </w:pPr>
            <w:r w:rsidRPr="007E501D">
              <w:rPr>
                <w:rFonts w:ascii="Arial" w:hAnsi="Arial" w:cs="Arial"/>
                <w:b/>
                <w:bCs/>
                <w:color w:val="FFFFFF"/>
                <w:sz w:val="16"/>
                <w:szCs w:val="16"/>
              </w:rPr>
              <w:t>Original anual</w:t>
            </w:r>
          </w:p>
        </w:tc>
        <w:tc>
          <w:tcPr>
            <w:tcW w:w="0" w:type="auto"/>
            <w:tcBorders>
              <w:top w:val="nil"/>
              <w:left w:val="nil"/>
              <w:bottom w:val="nil"/>
              <w:right w:val="single" w:sz="4" w:space="0" w:color="auto"/>
            </w:tcBorders>
            <w:shd w:val="clear" w:color="000000" w:fill="0066CC"/>
            <w:vAlign w:val="center"/>
          </w:tcPr>
          <w:p w:rsidR="002A62C9" w:rsidRPr="007E501D" w:rsidRDefault="002A62C9" w:rsidP="006E392E">
            <w:pPr>
              <w:jc w:val="center"/>
              <w:rPr>
                <w:rFonts w:ascii="Arial" w:hAnsi="Arial" w:cs="Arial"/>
                <w:b/>
                <w:bCs/>
                <w:color w:val="FFFFFF"/>
                <w:sz w:val="16"/>
                <w:szCs w:val="16"/>
              </w:rPr>
            </w:pPr>
            <w:r w:rsidRPr="007E501D">
              <w:rPr>
                <w:rFonts w:ascii="Arial" w:hAnsi="Arial" w:cs="Arial"/>
                <w:b/>
                <w:bCs/>
                <w:color w:val="FFFFFF"/>
                <w:sz w:val="16"/>
                <w:szCs w:val="16"/>
              </w:rPr>
              <w:t>Modificado anual</w:t>
            </w:r>
            <w:r>
              <w:rPr>
                <w:rFonts w:ascii="Arial" w:hAnsi="Arial" w:cs="Arial"/>
                <w:b/>
                <w:bCs/>
                <w:color w:val="FFFFFF"/>
                <w:sz w:val="16"/>
                <w:szCs w:val="16"/>
              </w:rPr>
              <w:t xml:space="preserve"> </w:t>
            </w:r>
          </w:p>
        </w:tc>
        <w:tc>
          <w:tcPr>
            <w:tcW w:w="0" w:type="auto"/>
            <w:tcBorders>
              <w:top w:val="nil"/>
              <w:left w:val="nil"/>
              <w:bottom w:val="nil"/>
              <w:right w:val="single" w:sz="4" w:space="0" w:color="auto"/>
            </w:tcBorders>
            <w:shd w:val="clear" w:color="000000" w:fill="0066CC"/>
            <w:vAlign w:val="center"/>
          </w:tcPr>
          <w:p w:rsidR="002A62C9" w:rsidRPr="007E501D" w:rsidRDefault="002A62C9" w:rsidP="006E392E">
            <w:pPr>
              <w:jc w:val="center"/>
              <w:rPr>
                <w:rFonts w:ascii="Arial" w:hAnsi="Arial" w:cs="Arial"/>
                <w:b/>
                <w:bCs/>
                <w:color w:val="FFFFFF"/>
                <w:sz w:val="16"/>
                <w:szCs w:val="16"/>
              </w:rPr>
            </w:pPr>
            <w:r w:rsidRPr="007E501D">
              <w:rPr>
                <w:rFonts w:ascii="Arial" w:hAnsi="Arial" w:cs="Arial"/>
                <w:b/>
                <w:bCs/>
                <w:color w:val="FFFFFF"/>
                <w:sz w:val="16"/>
                <w:szCs w:val="16"/>
              </w:rPr>
              <w:t>Calendarizado al trimestre</w:t>
            </w:r>
            <w:r>
              <w:rPr>
                <w:rFonts w:ascii="Arial" w:hAnsi="Arial" w:cs="Arial"/>
                <w:b/>
                <w:bCs/>
                <w:color w:val="FFFFFF"/>
                <w:sz w:val="16"/>
                <w:szCs w:val="16"/>
              </w:rPr>
              <w:t xml:space="preserve"> </w:t>
            </w:r>
          </w:p>
        </w:tc>
        <w:tc>
          <w:tcPr>
            <w:tcW w:w="0" w:type="auto"/>
            <w:tcBorders>
              <w:top w:val="nil"/>
              <w:left w:val="nil"/>
              <w:bottom w:val="nil"/>
              <w:right w:val="single" w:sz="4" w:space="0" w:color="auto"/>
            </w:tcBorders>
            <w:shd w:val="clear" w:color="000000" w:fill="0066CC"/>
            <w:vAlign w:val="center"/>
          </w:tcPr>
          <w:p w:rsidR="002A62C9" w:rsidRPr="007E501D" w:rsidRDefault="002A62C9" w:rsidP="006E392E">
            <w:pPr>
              <w:jc w:val="center"/>
              <w:rPr>
                <w:rFonts w:ascii="Arial" w:hAnsi="Arial" w:cs="Arial"/>
                <w:b/>
                <w:bCs/>
                <w:color w:val="FFFFFF"/>
                <w:sz w:val="16"/>
                <w:szCs w:val="16"/>
              </w:rPr>
            </w:pPr>
            <w:r w:rsidRPr="007E501D">
              <w:rPr>
                <w:rFonts w:ascii="Arial" w:hAnsi="Arial" w:cs="Arial"/>
                <w:b/>
                <w:bCs/>
                <w:color w:val="FFFFFF"/>
                <w:sz w:val="16"/>
                <w:szCs w:val="16"/>
              </w:rPr>
              <w:t>Ejercido al trimestre</w:t>
            </w:r>
          </w:p>
        </w:tc>
        <w:tc>
          <w:tcPr>
            <w:tcW w:w="0" w:type="auto"/>
            <w:tcBorders>
              <w:top w:val="nil"/>
              <w:left w:val="nil"/>
              <w:bottom w:val="nil"/>
              <w:right w:val="single" w:sz="4" w:space="0" w:color="auto"/>
            </w:tcBorders>
            <w:shd w:val="clear" w:color="000000" w:fill="0066CC"/>
            <w:vAlign w:val="center"/>
          </w:tcPr>
          <w:p w:rsidR="002A62C9" w:rsidRPr="007E501D" w:rsidRDefault="002A62C9" w:rsidP="006E392E">
            <w:pPr>
              <w:jc w:val="center"/>
              <w:rPr>
                <w:rFonts w:ascii="Arial" w:hAnsi="Arial" w:cs="Arial"/>
                <w:b/>
                <w:bCs/>
                <w:color w:val="FFFFFF"/>
                <w:sz w:val="16"/>
                <w:szCs w:val="16"/>
              </w:rPr>
            </w:pPr>
            <w:r w:rsidRPr="007E501D">
              <w:rPr>
                <w:rFonts w:ascii="Arial" w:hAnsi="Arial" w:cs="Arial"/>
                <w:b/>
                <w:bCs/>
                <w:color w:val="FFFFFF"/>
                <w:sz w:val="16"/>
                <w:szCs w:val="16"/>
              </w:rPr>
              <w:t>Avance financiero %</w:t>
            </w:r>
          </w:p>
        </w:tc>
      </w:tr>
      <w:tr w:rsidR="002A62C9" w:rsidRPr="007E501D" w:rsidTr="006E392E">
        <w:trPr>
          <w:trHeight w:val="402"/>
        </w:trPr>
        <w:tc>
          <w:tcPr>
            <w:tcW w:w="0" w:type="auto"/>
            <w:vMerge/>
            <w:tcBorders>
              <w:top w:val="nil"/>
              <w:left w:val="single" w:sz="4" w:space="0" w:color="auto"/>
              <w:bottom w:val="single" w:sz="4" w:space="0" w:color="000000"/>
              <w:right w:val="nil"/>
            </w:tcBorders>
            <w:vAlign w:val="center"/>
          </w:tcPr>
          <w:p w:rsidR="002A62C9" w:rsidRPr="007E501D" w:rsidRDefault="002A62C9" w:rsidP="006E392E">
            <w:pPr>
              <w:rPr>
                <w:rFonts w:ascii="Arial" w:hAnsi="Arial" w:cs="Arial"/>
                <w:b/>
                <w:bCs/>
                <w:color w:val="FFFFFF"/>
                <w:sz w:val="16"/>
                <w:szCs w:val="16"/>
              </w:rPr>
            </w:pPr>
          </w:p>
        </w:tc>
        <w:tc>
          <w:tcPr>
            <w:tcW w:w="0" w:type="auto"/>
            <w:tcBorders>
              <w:top w:val="nil"/>
              <w:left w:val="single" w:sz="4" w:space="0" w:color="auto"/>
              <w:bottom w:val="single" w:sz="4" w:space="0" w:color="auto"/>
              <w:right w:val="single" w:sz="4" w:space="0" w:color="auto"/>
            </w:tcBorders>
            <w:shd w:val="clear" w:color="000000" w:fill="0066CC"/>
            <w:vAlign w:val="center"/>
          </w:tcPr>
          <w:p w:rsidR="002A62C9" w:rsidRPr="007E501D" w:rsidRDefault="002A62C9" w:rsidP="006E392E">
            <w:pPr>
              <w:jc w:val="center"/>
              <w:rPr>
                <w:rFonts w:ascii="Arial" w:hAnsi="Arial" w:cs="Arial"/>
                <w:b/>
                <w:bCs/>
                <w:color w:val="FFFFFF"/>
                <w:sz w:val="16"/>
                <w:szCs w:val="16"/>
              </w:rPr>
            </w:pPr>
            <w:r w:rsidRPr="007E501D">
              <w:rPr>
                <w:rFonts w:ascii="Arial" w:hAnsi="Arial" w:cs="Arial"/>
                <w:b/>
                <w:bCs/>
                <w:color w:val="FFFFFF"/>
                <w:sz w:val="16"/>
                <w:szCs w:val="16"/>
              </w:rPr>
              <w:t>-</w:t>
            </w:r>
            <w:r>
              <w:rPr>
                <w:rFonts w:ascii="Arial" w:hAnsi="Arial" w:cs="Arial"/>
                <w:b/>
                <w:bCs/>
                <w:color w:val="FFFFFF"/>
                <w:sz w:val="16"/>
                <w:szCs w:val="16"/>
              </w:rPr>
              <w:t xml:space="preserve"> </w:t>
            </w:r>
            <w:r w:rsidRPr="007E501D">
              <w:rPr>
                <w:rFonts w:ascii="Arial" w:hAnsi="Arial" w:cs="Arial"/>
                <w:b/>
                <w:bCs/>
                <w:color w:val="FFFFFF"/>
                <w:sz w:val="16"/>
                <w:szCs w:val="16"/>
              </w:rPr>
              <w:t>1</w:t>
            </w:r>
            <w:r>
              <w:rPr>
                <w:rFonts w:ascii="Arial" w:hAnsi="Arial" w:cs="Arial"/>
                <w:b/>
                <w:bCs/>
                <w:color w:val="FFFFFF"/>
                <w:sz w:val="16"/>
                <w:szCs w:val="16"/>
              </w:rPr>
              <w:t xml:space="preserve"> -</w:t>
            </w:r>
          </w:p>
        </w:tc>
        <w:tc>
          <w:tcPr>
            <w:tcW w:w="0" w:type="auto"/>
            <w:tcBorders>
              <w:top w:val="nil"/>
              <w:left w:val="nil"/>
              <w:bottom w:val="single" w:sz="4" w:space="0" w:color="auto"/>
              <w:right w:val="single" w:sz="4" w:space="0" w:color="auto"/>
            </w:tcBorders>
            <w:shd w:val="clear" w:color="000000" w:fill="0066CC"/>
            <w:vAlign w:val="center"/>
          </w:tcPr>
          <w:p w:rsidR="002A62C9" w:rsidRPr="007E501D" w:rsidRDefault="002A62C9" w:rsidP="006E392E">
            <w:pPr>
              <w:jc w:val="center"/>
              <w:rPr>
                <w:rFonts w:ascii="Arial" w:hAnsi="Arial" w:cs="Arial"/>
                <w:b/>
                <w:bCs/>
                <w:color w:val="FFFFFF"/>
                <w:sz w:val="16"/>
                <w:szCs w:val="16"/>
              </w:rPr>
            </w:pPr>
            <w:r w:rsidRPr="007E501D">
              <w:rPr>
                <w:rFonts w:ascii="Arial" w:hAnsi="Arial" w:cs="Arial"/>
                <w:b/>
                <w:bCs/>
                <w:color w:val="FFFFFF"/>
                <w:sz w:val="16"/>
                <w:szCs w:val="16"/>
              </w:rPr>
              <w:t>-</w:t>
            </w:r>
            <w:r>
              <w:rPr>
                <w:rFonts w:ascii="Arial" w:hAnsi="Arial" w:cs="Arial"/>
                <w:b/>
                <w:bCs/>
                <w:color w:val="FFFFFF"/>
                <w:sz w:val="16"/>
                <w:szCs w:val="16"/>
              </w:rPr>
              <w:t xml:space="preserve"> </w:t>
            </w:r>
            <w:r w:rsidRPr="007E501D">
              <w:rPr>
                <w:rFonts w:ascii="Arial" w:hAnsi="Arial" w:cs="Arial"/>
                <w:b/>
                <w:bCs/>
                <w:color w:val="FFFFFF"/>
                <w:sz w:val="16"/>
                <w:szCs w:val="16"/>
              </w:rPr>
              <w:t>2</w:t>
            </w:r>
            <w:r>
              <w:rPr>
                <w:rFonts w:ascii="Arial" w:hAnsi="Arial" w:cs="Arial"/>
                <w:b/>
                <w:bCs/>
                <w:color w:val="FFFFFF"/>
                <w:sz w:val="16"/>
                <w:szCs w:val="16"/>
              </w:rPr>
              <w:t xml:space="preserve"> -</w:t>
            </w:r>
          </w:p>
        </w:tc>
        <w:tc>
          <w:tcPr>
            <w:tcW w:w="0" w:type="auto"/>
            <w:tcBorders>
              <w:top w:val="nil"/>
              <w:left w:val="nil"/>
              <w:bottom w:val="single" w:sz="4" w:space="0" w:color="auto"/>
              <w:right w:val="single" w:sz="4" w:space="0" w:color="auto"/>
            </w:tcBorders>
            <w:shd w:val="clear" w:color="000000" w:fill="0066CC"/>
            <w:vAlign w:val="center"/>
          </w:tcPr>
          <w:p w:rsidR="002A62C9" w:rsidRPr="007E501D" w:rsidRDefault="002A62C9" w:rsidP="006E392E">
            <w:pPr>
              <w:jc w:val="center"/>
              <w:rPr>
                <w:rFonts w:ascii="Arial" w:hAnsi="Arial" w:cs="Arial"/>
                <w:b/>
                <w:bCs/>
                <w:color w:val="FFFFFF"/>
                <w:sz w:val="16"/>
                <w:szCs w:val="16"/>
              </w:rPr>
            </w:pPr>
            <w:r w:rsidRPr="007E501D">
              <w:rPr>
                <w:rFonts w:ascii="Arial" w:hAnsi="Arial" w:cs="Arial"/>
                <w:b/>
                <w:bCs/>
                <w:color w:val="FFFFFF"/>
                <w:sz w:val="16"/>
                <w:szCs w:val="16"/>
              </w:rPr>
              <w:t>-</w:t>
            </w:r>
            <w:r>
              <w:rPr>
                <w:rFonts w:ascii="Arial" w:hAnsi="Arial" w:cs="Arial"/>
                <w:b/>
                <w:bCs/>
                <w:color w:val="FFFFFF"/>
                <w:sz w:val="16"/>
                <w:szCs w:val="16"/>
              </w:rPr>
              <w:t xml:space="preserve"> </w:t>
            </w:r>
            <w:r w:rsidRPr="007E501D">
              <w:rPr>
                <w:rFonts w:ascii="Arial" w:hAnsi="Arial" w:cs="Arial"/>
                <w:b/>
                <w:bCs/>
                <w:color w:val="FFFFFF"/>
                <w:sz w:val="16"/>
                <w:szCs w:val="16"/>
              </w:rPr>
              <w:t>3</w:t>
            </w:r>
            <w:r>
              <w:rPr>
                <w:rFonts w:ascii="Arial" w:hAnsi="Arial" w:cs="Arial"/>
                <w:b/>
                <w:bCs/>
                <w:color w:val="FFFFFF"/>
                <w:sz w:val="16"/>
                <w:szCs w:val="16"/>
              </w:rPr>
              <w:t xml:space="preserve"> -</w:t>
            </w:r>
          </w:p>
        </w:tc>
        <w:tc>
          <w:tcPr>
            <w:tcW w:w="0" w:type="auto"/>
            <w:tcBorders>
              <w:top w:val="nil"/>
              <w:left w:val="nil"/>
              <w:bottom w:val="single" w:sz="4" w:space="0" w:color="auto"/>
              <w:right w:val="single" w:sz="4" w:space="0" w:color="auto"/>
            </w:tcBorders>
            <w:shd w:val="clear" w:color="000000" w:fill="0066CC"/>
            <w:vAlign w:val="center"/>
          </w:tcPr>
          <w:p w:rsidR="002A62C9" w:rsidRPr="007E501D" w:rsidRDefault="002A62C9" w:rsidP="006E392E">
            <w:pPr>
              <w:jc w:val="center"/>
              <w:rPr>
                <w:rFonts w:ascii="Arial" w:hAnsi="Arial" w:cs="Arial"/>
                <w:b/>
                <w:bCs/>
                <w:color w:val="FFFFFF"/>
                <w:sz w:val="16"/>
                <w:szCs w:val="16"/>
              </w:rPr>
            </w:pPr>
            <w:r w:rsidRPr="007E501D">
              <w:rPr>
                <w:rFonts w:ascii="Arial" w:hAnsi="Arial" w:cs="Arial"/>
                <w:b/>
                <w:bCs/>
                <w:color w:val="FFFFFF"/>
                <w:sz w:val="16"/>
                <w:szCs w:val="16"/>
              </w:rPr>
              <w:t>-</w:t>
            </w:r>
            <w:r>
              <w:rPr>
                <w:rFonts w:ascii="Arial" w:hAnsi="Arial" w:cs="Arial"/>
                <w:b/>
                <w:bCs/>
                <w:color w:val="FFFFFF"/>
                <w:sz w:val="16"/>
                <w:szCs w:val="16"/>
              </w:rPr>
              <w:t xml:space="preserve"> </w:t>
            </w:r>
            <w:r w:rsidRPr="007E501D">
              <w:rPr>
                <w:rFonts w:ascii="Arial" w:hAnsi="Arial" w:cs="Arial"/>
                <w:b/>
                <w:bCs/>
                <w:color w:val="FFFFFF"/>
                <w:sz w:val="16"/>
                <w:szCs w:val="16"/>
              </w:rPr>
              <w:t>4</w:t>
            </w:r>
            <w:r>
              <w:rPr>
                <w:rFonts w:ascii="Arial" w:hAnsi="Arial" w:cs="Arial"/>
                <w:b/>
                <w:bCs/>
                <w:color w:val="FFFFFF"/>
                <w:sz w:val="16"/>
                <w:szCs w:val="16"/>
              </w:rPr>
              <w:t xml:space="preserve"> -</w:t>
            </w:r>
          </w:p>
        </w:tc>
        <w:tc>
          <w:tcPr>
            <w:tcW w:w="0" w:type="auto"/>
            <w:tcBorders>
              <w:top w:val="nil"/>
              <w:left w:val="nil"/>
              <w:bottom w:val="single" w:sz="4" w:space="0" w:color="auto"/>
              <w:right w:val="single" w:sz="4" w:space="0" w:color="auto"/>
            </w:tcBorders>
            <w:shd w:val="clear" w:color="000000" w:fill="0066CC"/>
            <w:vAlign w:val="center"/>
          </w:tcPr>
          <w:p w:rsidR="002A62C9" w:rsidRPr="007E501D" w:rsidRDefault="002A62C9" w:rsidP="006E392E">
            <w:pPr>
              <w:jc w:val="center"/>
              <w:rPr>
                <w:rFonts w:ascii="Arial" w:hAnsi="Arial" w:cs="Arial"/>
                <w:b/>
                <w:bCs/>
                <w:color w:val="FFFFFF"/>
                <w:sz w:val="16"/>
                <w:szCs w:val="16"/>
              </w:rPr>
            </w:pPr>
            <w:r w:rsidRPr="007E501D">
              <w:rPr>
                <w:rFonts w:ascii="Arial" w:hAnsi="Arial" w:cs="Arial"/>
                <w:b/>
                <w:bCs/>
                <w:color w:val="FFFFFF"/>
                <w:sz w:val="16"/>
                <w:szCs w:val="16"/>
              </w:rPr>
              <w:t>(4/3)</w:t>
            </w:r>
          </w:p>
        </w:tc>
      </w:tr>
      <w:tr w:rsidR="002A62C9" w:rsidRPr="00CE7AC9" w:rsidTr="006E392E">
        <w:trPr>
          <w:trHeight w:val="660"/>
        </w:trPr>
        <w:tc>
          <w:tcPr>
            <w:tcW w:w="0" w:type="auto"/>
            <w:tcBorders>
              <w:top w:val="nil"/>
              <w:left w:val="single" w:sz="4" w:space="0" w:color="auto"/>
              <w:bottom w:val="single" w:sz="4" w:space="0" w:color="auto"/>
              <w:right w:val="nil"/>
            </w:tcBorders>
            <w:vAlign w:val="center"/>
          </w:tcPr>
          <w:p w:rsidR="002A62C9" w:rsidRPr="00CE7AC9" w:rsidRDefault="002A62C9" w:rsidP="006E392E">
            <w:pPr>
              <w:rPr>
                <w:rFonts w:ascii="Arial" w:hAnsi="Arial" w:cs="Arial"/>
                <w:b/>
                <w:bCs/>
                <w:color w:val="333333"/>
                <w:sz w:val="16"/>
                <w:szCs w:val="16"/>
              </w:rPr>
            </w:pPr>
            <w:r>
              <w:rPr>
                <w:rFonts w:ascii="Arial" w:hAnsi="Arial" w:cs="Arial"/>
                <w:b/>
                <w:bCs/>
                <w:color w:val="333333"/>
                <w:sz w:val="16"/>
                <w:szCs w:val="16"/>
              </w:rPr>
              <w:t>4000</w:t>
            </w:r>
            <w:r w:rsidRPr="00CE7AC9">
              <w:rPr>
                <w:rFonts w:ascii="Arial" w:hAnsi="Arial" w:cs="Arial"/>
                <w:b/>
                <w:bCs/>
                <w:color w:val="333333"/>
                <w:sz w:val="16"/>
                <w:szCs w:val="16"/>
              </w:rPr>
              <w:t xml:space="preserve"> </w:t>
            </w:r>
            <w:r>
              <w:rPr>
                <w:rFonts w:ascii="Arial-BoldMT" w:hAnsi="Arial-BoldMT" w:cs="Arial-BoldMT"/>
                <w:b/>
                <w:bCs/>
                <w:sz w:val="18"/>
                <w:szCs w:val="18"/>
              </w:rPr>
              <w:t>Transferencias, asignaciones, subsidios y otras ayudas</w:t>
            </w:r>
          </w:p>
        </w:tc>
        <w:tc>
          <w:tcPr>
            <w:tcW w:w="0" w:type="auto"/>
            <w:tcBorders>
              <w:top w:val="nil"/>
              <w:left w:val="single" w:sz="4" w:space="0" w:color="auto"/>
              <w:bottom w:val="single" w:sz="4" w:space="0" w:color="auto"/>
              <w:right w:val="single" w:sz="4" w:space="0" w:color="auto"/>
            </w:tcBorders>
            <w:vAlign w:val="center"/>
          </w:tcPr>
          <w:p w:rsidR="002A62C9" w:rsidRPr="00CE7AC9" w:rsidRDefault="002A62C9" w:rsidP="006E392E">
            <w:pPr>
              <w:ind w:left="307" w:hanging="182"/>
              <w:jc w:val="right"/>
              <w:rPr>
                <w:rFonts w:ascii="Arial" w:hAnsi="Arial" w:cs="Arial"/>
                <w:b/>
                <w:bCs/>
                <w:color w:val="333333"/>
                <w:sz w:val="16"/>
                <w:szCs w:val="16"/>
              </w:rPr>
            </w:pPr>
            <w:r w:rsidRPr="00CE7AC9">
              <w:rPr>
                <w:rFonts w:ascii="Arial" w:hAnsi="Arial" w:cs="Arial"/>
                <w:b/>
                <w:bCs/>
                <w:color w:val="333333"/>
                <w:sz w:val="16"/>
                <w:szCs w:val="16"/>
              </w:rPr>
              <w:t>1,</w:t>
            </w:r>
            <w:r>
              <w:rPr>
                <w:rFonts w:ascii="Arial" w:hAnsi="Arial" w:cs="Arial"/>
                <w:b/>
                <w:bCs/>
                <w:color w:val="333333"/>
                <w:sz w:val="16"/>
                <w:szCs w:val="16"/>
              </w:rPr>
              <w:t>858</w:t>
            </w:r>
            <w:r w:rsidRPr="00CE7AC9">
              <w:rPr>
                <w:rFonts w:ascii="Arial" w:hAnsi="Arial" w:cs="Arial"/>
                <w:b/>
                <w:bCs/>
                <w:color w:val="333333"/>
                <w:sz w:val="16"/>
                <w:szCs w:val="16"/>
              </w:rPr>
              <w:t>,</w:t>
            </w:r>
            <w:r>
              <w:rPr>
                <w:rFonts w:ascii="Arial" w:hAnsi="Arial" w:cs="Arial"/>
                <w:b/>
                <w:bCs/>
                <w:color w:val="333333"/>
                <w:sz w:val="16"/>
                <w:szCs w:val="16"/>
              </w:rPr>
              <w:t>860</w:t>
            </w:r>
            <w:r w:rsidRPr="00CE7AC9">
              <w:rPr>
                <w:rFonts w:ascii="Arial" w:hAnsi="Arial" w:cs="Arial"/>
                <w:b/>
                <w:bCs/>
                <w:color w:val="333333"/>
                <w:sz w:val="16"/>
                <w:szCs w:val="16"/>
              </w:rPr>
              <w:t>,</w:t>
            </w:r>
            <w:r>
              <w:rPr>
                <w:rFonts w:ascii="Arial" w:hAnsi="Arial" w:cs="Arial"/>
                <w:b/>
                <w:bCs/>
                <w:color w:val="333333"/>
                <w:sz w:val="16"/>
                <w:szCs w:val="16"/>
              </w:rPr>
              <w:t>0</w:t>
            </w:r>
            <w:r w:rsidRPr="00CE7AC9">
              <w:rPr>
                <w:rFonts w:ascii="Arial" w:hAnsi="Arial" w:cs="Arial"/>
                <w:b/>
                <w:bCs/>
                <w:color w:val="333333"/>
                <w:sz w:val="16"/>
                <w:szCs w:val="16"/>
              </w:rPr>
              <w:t>00</w:t>
            </w:r>
          </w:p>
        </w:tc>
        <w:tc>
          <w:tcPr>
            <w:tcW w:w="0" w:type="auto"/>
            <w:tcBorders>
              <w:top w:val="nil"/>
              <w:left w:val="nil"/>
              <w:bottom w:val="single" w:sz="4" w:space="0" w:color="auto"/>
              <w:right w:val="single" w:sz="4" w:space="0" w:color="auto"/>
            </w:tcBorders>
            <w:vAlign w:val="center"/>
          </w:tcPr>
          <w:p w:rsidR="002A62C9" w:rsidRPr="00CE7AC9" w:rsidRDefault="002A62C9" w:rsidP="006E392E">
            <w:pPr>
              <w:jc w:val="right"/>
              <w:rPr>
                <w:rFonts w:ascii="Arial" w:hAnsi="Arial" w:cs="Arial"/>
                <w:b/>
                <w:bCs/>
                <w:color w:val="333333"/>
                <w:sz w:val="16"/>
                <w:szCs w:val="16"/>
              </w:rPr>
            </w:pPr>
            <w:r w:rsidRPr="00CE7AC9">
              <w:rPr>
                <w:rFonts w:ascii="Arial" w:hAnsi="Arial" w:cs="Arial"/>
                <w:b/>
                <w:bCs/>
                <w:color w:val="333333"/>
                <w:sz w:val="16"/>
                <w:szCs w:val="16"/>
              </w:rPr>
              <w:t>1,</w:t>
            </w:r>
            <w:r>
              <w:rPr>
                <w:rFonts w:ascii="Arial" w:hAnsi="Arial" w:cs="Arial"/>
                <w:b/>
                <w:bCs/>
                <w:color w:val="333333"/>
                <w:sz w:val="16"/>
                <w:szCs w:val="16"/>
              </w:rPr>
              <w:t>858</w:t>
            </w:r>
            <w:r w:rsidRPr="00CE7AC9">
              <w:rPr>
                <w:rFonts w:ascii="Arial" w:hAnsi="Arial" w:cs="Arial"/>
                <w:b/>
                <w:bCs/>
                <w:color w:val="333333"/>
                <w:sz w:val="16"/>
                <w:szCs w:val="16"/>
              </w:rPr>
              <w:t>,</w:t>
            </w:r>
            <w:r>
              <w:rPr>
                <w:rFonts w:ascii="Arial" w:hAnsi="Arial" w:cs="Arial"/>
                <w:b/>
                <w:bCs/>
                <w:color w:val="333333"/>
                <w:sz w:val="16"/>
                <w:szCs w:val="16"/>
              </w:rPr>
              <w:t>860</w:t>
            </w:r>
            <w:r w:rsidRPr="00CE7AC9">
              <w:rPr>
                <w:rFonts w:ascii="Arial" w:hAnsi="Arial" w:cs="Arial"/>
                <w:b/>
                <w:bCs/>
                <w:color w:val="333333"/>
                <w:sz w:val="16"/>
                <w:szCs w:val="16"/>
              </w:rPr>
              <w:t>,</w:t>
            </w:r>
            <w:r>
              <w:rPr>
                <w:rFonts w:ascii="Arial" w:hAnsi="Arial" w:cs="Arial"/>
                <w:b/>
                <w:bCs/>
                <w:color w:val="333333"/>
                <w:sz w:val="16"/>
                <w:szCs w:val="16"/>
              </w:rPr>
              <w:t>0</w:t>
            </w:r>
            <w:r w:rsidRPr="00CE7AC9">
              <w:rPr>
                <w:rFonts w:ascii="Arial" w:hAnsi="Arial" w:cs="Arial"/>
                <w:b/>
                <w:bCs/>
                <w:color w:val="333333"/>
                <w:sz w:val="16"/>
                <w:szCs w:val="16"/>
              </w:rPr>
              <w:t>00</w:t>
            </w:r>
          </w:p>
        </w:tc>
        <w:tc>
          <w:tcPr>
            <w:tcW w:w="0" w:type="auto"/>
            <w:tcBorders>
              <w:top w:val="nil"/>
              <w:left w:val="nil"/>
              <w:bottom w:val="single" w:sz="4" w:space="0" w:color="auto"/>
              <w:right w:val="single" w:sz="4" w:space="0" w:color="auto"/>
            </w:tcBorders>
            <w:vAlign w:val="center"/>
          </w:tcPr>
          <w:p w:rsidR="002A62C9" w:rsidRPr="00CE7AC9" w:rsidRDefault="002A62C9" w:rsidP="006E392E">
            <w:pPr>
              <w:jc w:val="right"/>
              <w:rPr>
                <w:rFonts w:ascii="Arial" w:hAnsi="Arial" w:cs="Arial"/>
                <w:b/>
                <w:bCs/>
                <w:color w:val="333333"/>
                <w:sz w:val="16"/>
                <w:szCs w:val="16"/>
              </w:rPr>
            </w:pPr>
            <w:r>
              <w:rPr>
                <w:rFonts w:ascii="Arial" w:hAnsi="Arial" w:cs="Arial"/>
                <w:b/>
                <w:bCs/>
                <w:color w:val="333333"/>
                <w:sz w:val="16"/>
                <w:szCs w:val="16"/>
              </w:rPr>
              <w:t>723,080,000</w:t>
            </w:r>
          </w:p>
        </w:tc>
        <w:tc>
          <w:tcPr>
            <w:tcW w:w="0" w:type="auto"/>
            <w:tcBorders>
              <w:top w:val="nil"/>
              <w:left w:val="nil"/>
              <w:bottom w:val="single" w:sz="4" w:space="0" w:color="auto"/>
              <w:right w:val="single" w:sz="4" w:space="0" w:color="auto"/>
            </w:tcBorders>
            <w:vAlign w:val="center"/>
          </w:tcPr>
          <w:p w:rsidR="002A62C9" w:rsidRPr="00CE7AC9" w:rsidRDefault="002A62C9" w:rsidP="006E392E">
            <w:pPr>
              <w:jc w:val="right"/>
              <w:rPr>
                <w:rFonts w:ascii="Arial" w:hAnsi="Arial" w:cs="Arial"/>
                <w:b/>
                <w:bCs/>
                <w:color w:val="333333"/>
                <w:sz w:val="16"/>
                <w:szCs w:val="16"/>
              </w:rPr>
            </w:pPr>
            <w:r>
              <w:rPr>
                <w:rFonts w:ascii="Arial" w:hAnsi="Arial" w:cs="Arial"/>
                <w:b/>
                <w:bCs/>
                <w:color w:val="333333"/>
                <w:sz w:val="16"/>
                <w:szCs w:val="16"/>
              </w:rPr>
              <w:t>723,080,000</w:t>
            </w:r>
          </w:p>
        </w:tc>
        <w:tc>
          <w:tcPr>
            <w:tcW w:w="0" w:type="auto"/>
            <w:tcBorders>
              <w:top w:val="nil"/>
              <w:left w:val="nil"/>
              <w:bottom w:val="single" w:sz="4" w:space="0" w:color="auto"/>
              <w:right w:val="single" w:sz="4" w:space="0" w:color="auto"/>
            </w:tcBorders>
            <w:vAlign w:val="center"/>
          </w:tcPr>
          <w:p w:rsidR="002A62C9" w:rsidRPr="00CE7AC9" w:rsidRDefault="002A62C9" w:rsidP="006E392E">
            <w:pPr>
              <w:jc w:val="center"/>
              <w:rPr>
                <w:rFonts w:ascii="Arial" w:hAnsi="Arial" w:cs="Arial"/>
                <w:b/>
                <w:bCs/>
                <w:color w:val="333333"/>
                <w:sz w:val="16"/>
                <w:szCs w:val="16"/>
              </w:rPr>
            </w:pPr>
            <w:r>
              <w:rPr>
                <w:rFonts w:ascii="Arial" w:hAnsi="Arial" w:cs="Arial"/>
                <w:b/>
                <w:bCs/>
                <w:color w:val="333333"/>
                <w:sz w:val="16"/>
                <w:szCs w:val="16"/>
              </w:rPr>
              <w:t>100.0</w:t>
            </w:r>
          </w:p>
        </w:tc>
      </w:tr>
      <w:tr w:rsidR="002A62C9" w:rsidRPr="00CE7AC9" w:rsidTr="006E392E">
        <w:trPr>
          <w:trHeight w:val="660"/>
        </w:trPr>
        <w:tc>
          <w:tcPr>
            <w:tcW w:w="0" w:type="auto"/>
            <w:tcBorders>
              <w:top w:val="nil"/>
              <w:left w:val="single" w:sz="4" w:space="0" w:color="auto"/>
              <w:bottom w:val="single" w:sz="4" w:space="0" w:color="auto"/>
              <w:right w:val="single" w:sz="4" w:space="0" w:color="auto"/>
            </w:tcBorders>
            <w:vAlign w:val="center"/>
          </w:tcPr>
          <w:p w:rsidR="002A62C9" w:rsidRPr="00CE7AC9" w:rsidRDefault="002A62C9" w:rsidP="006E392E">
            <w:pPr>
              <w:ind w:firstLineChars="100" w:firstLine="160"/>
              <w:rPr>
                <w:rFonts w:ascii="Arial" w:hAnsi="Arial" w:cs="Arial"/>
                <w:sz w:val="16"/>
                <w:szCs w:val="16"/>
              </w:rPr>
            </w:pPr>
            <w:r w:rsidRPr="00CE7AC9">
              <w:rPr>
                <w:rFonts w:ascii="Arial" w:hAnsi="Arial" w:cs="Arial"/>
                <w:sz w:val="16"/>
                <w:szCs w:val="16"/>
              </w:rPr>
              <w:t xml:space="preserve">  </w:t>
            </w:r>
            <w:r>
              <w:rPr>
                <w:rFonts w:ascii="Arial" w:hAnsi="Arial" w:cs="Arial"/>
                <w:sz w:val="16"/>
                <w:szCs w:val="16"/>
              </w:rPr>
              <w:t>43701 Subsidios al Consumo</w:t>
            </w:r>
          </w:p>
        </w:tc>
        <w:tc>
          <w:tcPr>
            <w:tcW w:w="0" w:type="auto"/>
            <w:tcBorders>
              <w:top w:val="nil"/>
              <w:left w:val="nil"/>
              <w:bottom w:val="single" w:sz="4" w:space="0" w:color="auto"/>
              <w:right w:val="single" w:sz="4" w:space="0" w:color="auto"/>
            </w:tcBorders>
            <w:noWrap/>
            <w:vAlign w:val="center"/>
          </w:tcPr>
          <w:p w:rsidR="002A62C9" w:rsidRPr="00CE7AC9" w:rsidRDefault="002A62C9" w:rsidP="006E392E">
            <w:pPr>
              <w:ind w:left="307" w:hanging="40"/>
              <w:jc w:val="right"/>
              <w:rPr>
                <w:rFonts w:ascii="Arial" w:hAnsi="Arial" w:cs="Arial"/>
                <w:b/>
                <w:bCs/>
                <w:color w:val="333333"/>
                <w:sz w:val="16"/>
                <w:szCs w:val="16"/>
              </w:rPr>
            </w:pPr>
            <w:r w:rsidRPr="00CE7AC9">
              <w:rPr>
                <w:rFonts w:ascii="Arial" w:hAnsi="Arial" w:cs="Arial"/>
                <w:b/>
                <w:bCs/>
                <w:color w:val="333333"/>
                <w:sz w:val="16"/>
                <w:szCs w:val="16"/>
              </w:rPr>
              <w:t>1,</w:t>
            </w:r>
            <w:r>
              <w:rPr>
                <w:rFonts w:ascii="Arial" w:hAnsi="Arial" w:cs="Arial"/>
                <w:b/>
                <w:bCs/>
                <w:color w:val="333333"/>
                <w:sz w:val="16"/>
                <w:szCs w:val="16"/>
              </w:rPr>
              <w:t>858</w:t>
            </w:r>
            <w:r w:rsidRPr="00CE7AC9">
              <w:rPr>
                <w:rFonts w:ascii="Arial" w:hAnsi="Arial" w:cs="Arial"/>
                <w:b/>
                <w:bCs/>
                <w:color w:val="333333"/>
                <w:sz w:val="16"/>
                <w:szCs w:val="16"/>
              </w:rPr>
              <w:t>,</w:t>
            </w:r>
            <w:r>
              <w:rPr>
                <w:rFonts w:ascii="Arial" w:hAnsi="Arial" w:cs="Arial"/>
                <w:b/>
                <w:bCs/>
                <w:color w:val="333333"/>
                <w:sz w:val="16"/>
                <w:szCs w:val="16"/>
              </w:rPr>
              <w:t>860</w:t>
            </w:r>
            <w:r w:rsidRPr="00CE7AC9">
              <w:rPr>
                <w:rFonts w:ascii="Arial" w:hAnsi="Arial" w:cs="Arial"/>
                <w:b/>
                <w:bCs/>
                <w:color w:val="333333"/>
                <w:sz w:val="16"/>
                <w:szCs w:val="16"/>
              </w:rPr>
              <w:t>,</w:t>
            </w:r>
            <w:r>
              <w:rPr>
                <w:rFonts w:ascii="Arial" w:hAnsi="Arial" w:cs="Arial"/>
                <w:b/>
                <w:bCs/>
                <w:color w:val="333333"/>
                <w:sz w:val="16"/>
                <w:szCs w:val="16"/>
              </w:rPr>
              <w:t>0</w:t>
            </w:r>
            <w:r w:rsidRPr="00CE7AC9">
              <w:rPr>
                <w:rFonts w:ascii="Arial" w:hAnsi="Arial" w:cs="Arial"/>
                <w:b/>
                <w:bCs/>
                <w:color w:val="333333"/>
                <w:sz w:val="16"/>
                <w:szCs w:val="16"/>
              </w:rPr>
              <w:t>00</w:t>
            </w:r>
          </w:p>
        </w:tc>
        <w:tc>
          <w:tcPr>
            <w:tcW w:w="0" w:type="auto"/>
            <w:tcBorders>
              <w:top w:val="nil"/>
              <w:left w:val="nil"/>
              <w:bottom w:val="single" w:sz="4" w:space="0" w:color="auto"/>
              <w:right w:val="single" w:sz="4" w:space="0" w:color="auto"/>
            </w:tcBorders>
            <w:noWrap/>
            <w:vAlign w:val="center"/>
          </w:tcPr>
          <w:p w:rsidR="002A62C9" w:rsidRPr="00CE7AC9" w:rsidRDefault="002A62C9" w:rsidP="006E392E">
            <w:pPr>
              <w:jc w:val="right"/>
              <w:rPr>
                <w:rFonts w:ascii="Arial" w:hAnsi="Arial" w:cs="Arial"/>
                <w:b/>
                <w:bCs/>
                <w:color w:val="333333"/>
                <w:sz w:val="16"/>
                <w:szCs w:val="16"/>
              </w:rPr>
            </w:pPr>
            <w:r w:rsidRPr="00CE7AC9">
              <w:rPr>
                <w:rFonts w:ascii="Arial" w:hAnsi="Arial" w:cs="Arial"/>
                <w:b/>
                <w:bCs/>
                <w:color w:val="333333"/>
                <w:sz w:val="16"/>
                <w:szCs w:val="16"/>
              </w:rPr>
              <w:t>1,</w:t>
            </w:r>
            <w:r>
              <w:rPr>
                <w:rFonts w:ascii="Arial" w:hAnsi="Arial" w:cs="Arial"/>
                <w:b/>
                <w:bCs/>
                <w:color w:val="333333"/>
                <w:sz w:val="16"/>
                <w:szCs w:val="16"/>
              </w:rPr>
              <w:t>858</w:t>
            </w:r>
            <w:r w:rsidRPr="00CE7AC9">
              <w:rPr>
                <w:rFonts w:ascii="Arial" w:hAnsi="Arial" w:cs="Arial"/>
                <w:b/>
                <w:bCs/>
                <w:color w:val="333333"/>
                <w:sz w:val="16"/>
                <w:szCs w:val="16"/>
              </w:rPr>
              <w:t>,</w:t>
            </w:r>
            <w:r>
              <w:rPr>
                <w:rFonts w:ascii="Arial" w:hAnsi="Arial" w:cs="Arial"/>
                <w:b/>
                <w:bCs/>
                <w:color w:val="333333"/>
                <w:sz w:val="16"/>
                <w:szCs w:val="16"/>
              </w:rPr>
              <w:t>860</w:t>
            </w:r>
            <w:r w:rsidRPr="00CE7AC9">
              <w:rPr>
                <w:rFonts w:ascii="Arial" w:hAnsi="Arial" w:cs="Arial"/>
                <w:b/>
                <w:bCs/>
                <w:color w:val="333333"/>
                <w:sz w:val="16"/>
                <w:szCs w:val="16"/>
              </w:rPr>
              <w:t>,</w:t>
            </w:r>
            <w:r>
              <w:rPr>
                <w:rFonts w:ascii="Arial" w:hAnsi="Arial" w:cs="Arial"/>
                <w:b/>
                <w:bCs/>
                <w:color w:val="333333"/>
                <w:sz w:val="16"/>
                <w:szCs w:val="16"/>
              </w:rPr>
              <w:t>0</w:t>
            </w:r>
            <w:r w:rsidRPr="00CE7AC9">
              <w:rPr>
                <w:rFonts w:ascii="Arial" w:hAnsi="Arial" w:cs="Arial"/>
                <w:b/>
                <w:bCs/>
                <w:color w:val="333333"/>
                <w:sz w:val="16"/>
                <w:szCs w:val="16"/>
              </w:rPr>
              <w:t>00</w:t>
            </w:r>
          </w:p>
        </w:tc>
        <w:tc>
          <w:tcPr>
            <w:tcW w:w="0" w:type="auto"/>
            <w:tcBorders>
              <w:top w:val="nil"/>
              <w:left w:val="nil"/>
              <w:bottom w:val="single" w:sz="4" w:space="0" w:color="auto"/>
              <w:right w:val="single" w:sz="4" w:space="0" w:color="auto"/>
            </w:tcBorders>
            <w:noWrap/>
            <w:vAlign w:val="center"/>
          </w:tcPr>
          <w:p w:rsidR="002A62C9" w:rsidRPr="00CE7AC9" w:rsidRDefault="002A62C9" w:rsidP="006E392E">
            <w:pPr>
              <w:jc w:val="right"/>
              <w:rPr>
                <w:rFonts w:ascii="Arial" w:hAnsi="Arial" w:cs="Arial"/>
                <w:color w:val="000000"/>
                <w:sz w:val="16"/>
                <w:szCs w:val="16"/>
              </w:rPr>
            </w:pPr>
            <w:r>
              <w:rPr>
                <w:rFonts w:ascii="Arial" w:hAnsi="Arial" w:cs="Arial"/>
                <w:b/>
                <w:bCs/>
                <w:color w:val="333333"/>
                <w:sz w:val="16"/>
                <w:szCs w:val="16"/>
              </w:rPr>
              <w:t>723,080,000</w:t>
            </w:r>
          </w:p>
        </w:tc>
        <w:tc>
          <w:tcPr>
            <w:tcW w:w="0" w:type="auto"/>
            <w:tcBorders>
              <w:top w:val="nil"/>
              <w:left w:val="nil"/>
              <w:bottom w:val="single" w:sz="4" w:space="0" w:color="auto"/>
              <w:right w:val="single" w:sz="4" w:space="0" w:color="auto"/>
            </w:tcBorders>
            <w:noWrap/>
            <w:vAlign w:val="center"/>
          </w:tcPr>
          <w:p w:rsidR="002A62C9" w:rsidRPr="00CE7AC9" w:rsidRDefault="002A62C9" w:rsidP="006E392E">
            <w:pPr>
              <w:jc w:val="right"/>
              <w:rPr>
                <w:rFonts w:ascii="Arial" w:hAnsi="Arial" w:cs="Arial"/>
                <w:color w:val="000000"/>
                <w:sz w:val="16"/>
                <w:szCs w:val="16"/>
              </w:rPr>
            </w:pPr>
            <w:r>
              <w:rPr>
                <w:rFonts w:ascii="Arial" w:hAnsi="Arial" w:cs="Arial"/>
                <w:b/>
                <w:bCs/>
                <w:color w:val="333333"/>
                <w:sz w:val="16"/>
                <w:szCs w:val="16"/>
              </w:rPr>
              <w:t>723,080,000</w:t>
            </w:r>
          </w:p>
        </w:tc>
        <w:tc>
          <w:tcPr>
            <w:tcW w:w="0" w:type="auto"/>
            <w:tcBorders>
              <w:top w:val="nil"/>
              <w:left w:val="nil"/>
              <w:bottom w:val="single" w:sz="4" w:space="0" w:color="auto"/>
              <w:right w:val="single" w:sz="4" w:space="0" w:color="auto"/>
            </w:tcBorders>
            <w:vAlign w:val="center"/>
          </w:tcPr>
          <w:p w:rsidR="002A62C9" w:rsidRPr="00CE7AC9" w:rsidRDefault="002A62C9" w:rsidP="006E392E">
            <w:pPr>
              <w:jc w:val="center"/>
              <w:rPr>
                <w:rFonts w:ascii="Arial" w:hAnsi="Arial" w:cs="Arial"/>
                <w:sz w:val="16"/>
                <w:szCs w:val="16"/>
              </w:rPr>
            </w:pPr>
            <w:r>
              <w:rPr>
                <w:rFonts w:ascii="Arial" w:hAnsi="Arial" w:cs="Arial"/>
                <w:sz w:val="16"/>
                <w:szCs w:val="16"/>
              </w:rPr>
              <w:t>100.0</w:t>
            </w:r>
          </w:p>
        </w:tc>
      </w:tr>
      <w:tr w:rsidR="002A62C9" w:rsidRPr="007E501D" w:rsidTr="006E392E">
        <w:trPr>
          <w:trHeight w:val="660"/>
        </w:trPr>
        <w:tc>
          <w:tcPr>
            <w:tcW w:w="0" w:type="auto"/>
            <w:tcBorders>
              <w:top w:val="nil"/>
              <w:left w:val="single" w:sz="4" w:space="0" w:color="auto"/>
              <w:bottom w:val="single" w:sz="4" w:space="0" w:color="auto"/>
              <w:right w:val="single" w:sz="4" w:space="0" w:color="auto"/>
            </w:tcBorders>
            <w:shd w:val="clear" w:color="000000" w:fill="0066CC"/>
            <w:vAlign w:val="center"/>
          </w:tcPr>
          <w:p w:rsidR="002A62C9" w:rsidRPr="007E501D" w:rsidRDefault="002A62C9" w:rsidP="006E392E">
            <w:pPr>
              <w:rPr>
                <w:rFonts w:ascii="Arial" w:hAnsi="Arial" w:cs="Arial"/>
                <w:b/>
                <w:bCs/>
                <w:color w:val="FFFFFF"/>
                <w:sz w:val="16"/>
                <w:szCs w:val="16"/>
              </w:rPr>
            </w:pPr>
            <w:r>
              <w:rPr>
                <w:rFonts w:ascii="Arial" w:hAnsi="Arial" w:cs="Arial"/>
                <w:b/>
                <w:bCs/>
                <w:color w:val="FFFFFF"/>
                <w:sz w:val="16"/>
                <w:szCs w:val="16"/>
              </w:rPr>
              <w:t>T</w:t>
            </w:r>
            <w:r w:rsidRPr="007E501D">
              <w:rPr>
                <w:rFonts w:ascii="Arial" w:hAnsi="Arial" w:cs="Arial"/>
                <w:b/>
                <w:bCs/>
                <w:color w:val="FFFFFF"/>
                <w:sz w:val="16"/>
                <w:szCs w:val="16"/>
              </w:rPr>
              <w:t>otal</w:t>
            </w:r>
          </w:p>
        </w:tc>
        <w:tc>
          <w:tcPr>
            <w:tcW w:w="0" w:type="auto"/>
            <w:tcBorders>
              <w:top w:val="nil"/>
              <w:left w:val="nil"/>
              <w:bottom w:val="single" w:sz="4" w:space="0" w:color="auto"/>
              <w:right w:val="single" w:sz="4" w:space="0" w:color="auto"/>
            </w:tcBorders>
            <w:shd w:val="clear" w:color="000000" w:fill="0066CC"/>
            <w:vAlign w:val="center"/>
          </w:tcPr>
          <w:p w:rsidR="002A62C9" w:rsidRPr="007E501D" w:rsidRDefault="002A62C9" w:rsidP="006E392E">
            <w:pPr>
              <w:ind w:left="307" w:hanging="182"/>
              <w:jc w:val="right"/>
              <w:rPr>
                <w:rFonts w:ascii="Arial" w:hAnsi="Arial" w:cs="Arial"/>
                <w:b/>
                <w:bCs/>
                <w:color w:val="FFFFFF"/>
                <w:sz w:val="16"/>
                <w:szCs w:val="16"/>
              </w:rPr>
            </w:pPr>
            <w:r w:rsidRPr="00C57060">
              <w:rPr>
                <w:rFonts w:ascii="Arial" w:hAnsi="Arial" w:cs="Arial"/>
                <w:b/>
                <w:bCs/>
                <w:color w:val="FFFFFF"/>
                <w:sz w:val="16"/>
                <w:szCs w:val="16"/>
              </w:rPr>
              <w:t>1,858,860,000</w:t>
            </w:r>
          </w:p>
        </w:tc>
        <w:tc>
          <w:tcPr>
            <w:tcW w:w="0" w:type="auto"/>
            <w:tcBorders>
              <w:top w:val="nil"/>
              <w:left w:val="nil"/>
              <w:bottom w:val="single" w:sz="4" w:space="0" w:color="auto"/>
              <w:right w:val="single" w:sz="4" w:space="0" w:color="auto"/>
            </w:tcBorders>
            <w:shd w:val="clear" w:color="000000" w:fill="0066CC"/>
            <w:vAlign w:val="center"/>
          </w:tcPr>
          <w:p w:rsidR="002A62C9" w:rsidRPr="007E501D" w:rsidRDefault="002A62C9" w:rsidP="006E392E">
            <w:pPr>
              <w:jc w:val="right"/>
              <w:rPr>
                <w:rFonts w:ascii="Arial" w:hAnsi="Arial" w:cs="Arial"/>
                <w:b/>
                <w:bCs/>
                <w:color w:val="FFFFFF"/>
                <w:sz w:val="16"/>
                <w:szCs w:val="16"/>
              </w:rPr>
            </w:pPr>
            <w:r w:rsidRPr="00C57060">
              <w:rPr>
                <w:rFonts w:ascii="Arial" w:hAnsi="Arial" w:cs="Arial"/>
                <w:b/>
                <w:bCs/>
                <w:color w:val="FFFFFF"/>
                <w:sz w:val="16"/>
                <w:szCs w:val="16"/>
              </w:rPr>
              <w:t>1,858,860,000</w:t>
            </w:r>
          </w:p>
        </w:tc>
        <w:tc>
          <w:tcPr>
            <w:tcW w:w="0" w:type="auto"/>
            <w:tcBorders>
              <w:top w:val="nil"/>
              <w:left w:val="nil"/>
              <w:bottom w:val="single" w:sz="4" w:space="0" w:color="auto"/>
              <w:right w:val="single" w:sz="4" w:space="0" w:color="auto"/>
            </w:tcBorders>
            <w:shd w:val="clear" w:color="000000" w:fill="0066CC"/>
            <w:vAlign w:val="center"/>
          </w:tcPr>
          <w:p w:rsidR="002A62C9" w:rsidRPr="007E501D" w:rsidRDefault="002A62C9" w:rsidP="006E392E">
            <w:pPr>
              <w:jc w:val="right"/>
              <w:rPr>
                <w:rFonts w:ascii="Arial" w:hAnsi="Arial" w:cs="Arial"/>
                <w:b/>
                <w:bCs/>
                <w:color w:val="FFFFFF"/>
                <w:sz w:val="16"/>
                <w:szCs w:val="16"/>
              </w:rPr>
            </w:pPr>
            <w:r w:rsidRPr="00C57060">
              <w:rPr>
                <w:rFonts w:ascii="Arial" w:hAnsi="Arial" w:cs="Arial"/>
                <w:b/>
                <w:bCs/>
                <w:color w:val="FFFFFF"/>
                <w:sz w:val="16"/>
                <w:szCs w:val="16"/>
              </w:rPr>
              <w:t>723,080,000</w:t>
            </w:r>
          </w:p>
        </w:tc>
        <w:tc>
          <w:tcPr>
            <w:tcW w:w="0" w:type="auto"/>
            <w:tcBorders>
              <w:top w:val="nil"/>
              <w:left w:val="nil"/>
              <w:bottom w:val="single" w:sz="4" w:space="0" w:color="auto"/>
              <w:right w:val="single" w:sz="4" w:space="0" w:color="auto"/>
            </w:tcBorders>
            <w:shd w:val="clear" w:color="000000" w:fill="0066CC"/>
            <w:vAlign w:val="center"/>
          </w:tcPr>
          <w:p w:rsidR="002A62C9" w:rsidRPr="007E501D" w:rsidRDefault="002A62C9" w:rsidP="006E392E">
            <w:pPr>
              <w:jc w:val="right"/>
              <w:rPr>
                <w:rFonts w:ascii="Arial" w:hAnsi="Arial" w:cs="Arial"/>
                <w:b/>
                <w:bCs/>
                <w:color w:val="FFFFFF"/>
                <w:sz w:val="16"/>
                <w:szCs w:val="16"/>
              </w:rPr>
            </w:pPr>
            <w:r w:rsidRPr="00C57060">
              <w:rPr>
                <w:rFonts w:ascii="Arial" w:hAnsi="Arial" w:cs="Arial"/>
                <w:b/>
                <w:bCs/>
                <w:color w:val="FFFFFF"/>
                <w:sz w:val="16"/>
                <w:szCs w:val="16"/>
              </w:rPr>
              <w:t>723,080,000</w:t>
            </w:r>
          </w:p>
        </w:tc>
        <w:tc>
          <w:tcPr>
            <w:tcW w:w="0" w:type="auto"/>
            <w:tcBorders>
              <w:top w:val="nil"/>
              <w:left w:val="nil"/>
              <w:bottom w:val="single" w:sz="4" w:space="0" w:color="auto"/>
              <w:right w:val="single" w:sz="4" w:space="0" w:color="auto"/>
            </w:tcBorders>
            <w:shd w:val="clear" w:color="000000" w:fill="0066CC"/>
            <w:vAlign w:val="center"/>
          </w:tcPr>
          <w:p w:rsidR="002A62C9" w:rsidRPr="007E501D" w:rsidRDefault="002A62C9" w:rsidP="006E392E">
            <w:pPr>
              <w:jc w:val="center"/>
              <w:rPr>
                <w:rFonts w:ascii="Arial" w:hAnsi="Arial" w:cs="Arial"/>
                <w:b/>
                <w:bCs/>
                <w:color w:val="FFFFFF"/>
                <w:sz w:val="16"/>
                <w:szCs w:val="16"/>
              </w:rPr>
            </w:pPr>
            <w:r>
              <w:rPr>
                <w:rFonts w:ascii="Arial" w:hAnsi="Arial" w:cs="Arial"/>
                <w:b/>
                <w:bCs/>
                <w:color w:val="FFFFFF"/>
                <w:sz w:val="16"/>
                <w:szCs w:val="16"/>
              </w:rPr>
              <w:t>100.0</w:t>
            </w:r>
          </w:p>
        </w:tc>
      </w:tr>
      <w:tr w:rsidR="002A62C9" w:rsidRPr="00CE7AC9" w:rsidTr="006E392E">
        <w:trPr>
          <w:trHeight w:val="435"/>
        </w:trPr>
        <w:tc>
          <w:tcPr>
            <w:tcW w:w="0" w:type="auto"/>
            <w:gridSpan w:val="6"/>
            <w:tcBorders>
              <w:top w:val="nil"/>
              <w:left w:val="nil"/>
              <w:bottom w:val="nil"/>
              <w:right w:val="nil"/>
            </w:tcBorders>
            <w:vAlign w:val="bottom"/>
          </w:tcPr>
          <w:p w:rsidR="002A62C9" w:rsidRPr="00CE7AC9" w:rsidRDefault="002A62C9" w:rsidP="00B41866">
            <w:pPr>
              <w:rPr>
                <w:rFonts w:ascii="Arial" w:hAnsi="Arial" w:cs="Arial"/>
                <w:sz w:val="16"/>
                <w:szCs w:val="16"/>
              </w:rPr>
            </w:pPr>
            <w:r>
              <w:rPr>
                <w:rFonts w:ascii="Arial" w:hAnsi="Arial" w:cs="Arial"/>
                <w:sz w:val="16"/>
                <w:szCs w:val="16"/>
              </w:rPr>
              <w:t xml:space="preserve">Fuente: </w:t>
            </w:r>
            <w:r w:rsidRPr="00CE7AC9">
              <w:rPr>
                <w:rFonts w:ascii="Arial" w:hAnsi="Arial" w:cs="Arial"/>
                <w:sz w:val="16"/>
                <w:szCs w:val="16"/>
              </w:rPr>
              <w:t>Diconsa, S.A. de C.V.</w:t>
            </w:r>
            <w:r>
              <w:rPr>
                <w:rFonts w:ascii="Arial" w:hAnsi="Arial" w:cs="Arial"/>
                <w:sz w:val="16"/>
                <w:szCs w:val="16"/>
              </w:rPr>
              <w:t xml:space="preserve"> con cifras </w:t>
            </w:r>
            <w:r w:rsidR="00B41866">
              <w:rPr>
                <w:rFonts w:ascii="Arial" w:hAnsi="Arial" w:cs="Arial"/>
                <w:sz w:val="16"/>
                <w:szCs w:val="16"/>
              </w:rPr>
              <w:t>conciliadas</w:t>
            </w:r>
            <w:r>
              <w:rPr>
                <w:rFonts w:ascii="Arial" w:hAnsi="Arial" w:cs="Arial"/>
                <w:sz w:val="16"/>
                <w:szCs w:val="16"/>
              </w:rPr>
              <w:t xml:space="preserve"> con el Módulo de Conciliación del Ejercicio Presupuestario (CONEP) del Sistema del Proceso Integral de Programación y Presupuesto (PIPP) para Capítulo 4000.</w:t>
            </w:r>
          </w:p>
        </w:tc>
      </w:tr>
    </w:tbl>
    <w:p w:rsidR="00F22B04" w:rsidRDefault="008F49CE" w:rsidP="008F49CE">
      <w:pPr>
        <w:pStyle w:val="01Fraccion"/>
      </w:pPr>
      <w:r>
        <w:t>Aclaraciones y Anexos</w:t>
      </w:r>
    </w:p>
    <w:p w:rsidR="00733204" w:rsidRPr="00733204" w:rsidRDefault="00733204" w:rsidP="00733204">
      <w:pPr>
        <w:pStyle w:val="04TextoN"/>
      </w:pPr>
      <w:r w:rsidRPr="00733204">
        <w:t>Ninguna</w:t>
      </w:r>
    </w:p>
    <w:p w:rsidR="00B41866" w:rsidRDefault="00B41866" w:rsidP="00B41866">
      <w:pPr>
        <w:pStyle w:val="01Fraccion"/>
      </w:pPr>
      <w:r>
        <w:t>Convenios Formalizados con Organizaciones de la Sociedad Civil</w:t>
      </w:r>
    </w:p>
    <w:p w:rsidR="00B41866" w:rsidRPr="00D7337B" w:rsidRDefault="00B41866" w:rsidP="00B41866">
      <w:pPr>
        <w:pStyle w:val="10Imagenescentradas"/>
        <w:jc w:val="left"/>
        <w:rPr>
          <w:sz w:val="24"/>
        </w:rPr>
      </w:pPr>
      <w:r w:rsidRPr="00D7337B">
        <w:rPr>
          <w:sz w:val="24"/>
        </w:rPr>
        <w:t>No se formalizaron Convenios con Organizaciones de la Sociedad Civil en la Entidad</w:t>
      </w:r>
    </w:p>
    <w:p w:rsidR="00B41866" w:rsidRPr="00EF249C" w:rsidRDefault="00B41866" w:rsidP="00EF249C">
      <w:pPr>
        <w:pStyle w:val="04TextoN"/>
      </w:pPr>
    </w:p>
    <w:sectPr w:rsidR="00B41866" w:rsidRPr="00EF249C" w:rsidSect="001F6854">
      <w:headerReference w:type="default" r:id="rId10"/>
      <w:footerReference w:type="default" r:id="rId11"/>
      <w:pgSz w:w="12240" w:h="15840" w:code="1"/>
      <w:pgMar w:top="1814" w:right="1134" w:bottom="851" w:left="1134"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D4F" w:rsidRDefault="00454D4F" w:rsidP="000B17C2">
      <w:pPr>
        <w:spacing w:after="0" w:line="240" w:lineRule="auto"/>
      </w:pPr>
      <w:r>
        <w:separator/>
      </w:r>
    </w:p>
    <w:p w:rsidR="00454D4F" w:rsidRDefault="00454D4F"/>
  </w:endnote>
  <w:endnote w:type="continuationSeparator" w:id="0">
    <w:p w:rsidR="00454D4F" w:rsidRDefault="00454D4F" w:rsidP="000B17C2">
      <w:pPr>
        <w:spacing w:after="0" w:line="240" w:lineRule="auto"/>
      </w:pPr>
      <w:r>
        <w:continuationSeparator/>
      </w:r>
    </w:p>
    <w:p w:rsidR="00454D4F" w:rsidRDefault="00454D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residencia Firme">
    <w:altName w:val="Franklin Gothic Medium Cond"/>
    <w:panose1 w:val="00000000000000000000"/>
    <w:charset w:val="00"/>
    <w:family w:val="modern"/>
    <w:notTrueType/>
    <w:pitch w:val="variable"/>
    <w:sig w:usb0="800000AF" w:usb1="4000004A"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esidencia Base CC">
    <w:altName w:val="Bodoni MT Condensed"/>
    <w:panose1 w:val="00000000000000000000"/>
    <w:charset w:val="00"/>
    <w:family w:val="modern"/>
    <w:notTrueType/>
    <w:pitch w:val="variable"/>
    <w:sig w:usb0="800000AF" w:usb1="4000004A"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dobe Caslon Pro Bold">
    <w:altName w:val="Times New Roman"/>
    <w:panose1 w:val="00000000000000000000"/>
    <w:charset w:val="00"/>
    <w:family w:val="roman"/>
    <w:notTrueType/>
    <w:pitch w:val="variable"/>
    <w:sig w:usb0="00000001" w:usb1="5000205B" w:usb2="00000000" w:usb3="00000000" w:csb0="0000009B" w:csb1="00000000"/>
  </w:font>
  <w:font w:name="Adobe Caslon Pro">
    <w:altName w:val="Times New Roman"/>
    <w:panose1 w:val="00000000000000000000"/>
    <w:charset w:val="00"/>
    <w:family w:val="roman"/>
    <w:notTrueType/>
    <w:pitch w:val="variable"/>
    <w:sig w:usb0="00000001" w:usb1="5000205B" w:usb2="00000000" w:usb3="00000000" w:csb0="0000009B" w:csb1="00000000"/>
  </w:font>
  <w:font w:name="Trajan Pro">
    <w:altName w:val="Times New Roman"/>
    <w:panose1 w:val="00000000000000000000"/>
    <w:charset w:val="00"/>
    <w:family w:val="roman"/>
    <w:notTrueType/>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dobe Caslon Pro" w:hAnsi="Adobe Caslon Pro"/>
      </w:rPr>
      <w:id w:val="12456255"/>
      <w:docPartObj>
        <w:docPartGallery w:val="Page Numbers (Bottom of Page)"/>
        <w:docPartUnique/>
      </w:docPartObj>
    </w:sdtPr>
    <w:sdtEndPr>
      <w:rPr>
        <w:sz w:val="20"/>
        <w:szCs w:val="20"/>
      </w:rPr>
    </w:sdtEndPr>
    <w:sdtContent>
      <w:p w:rsidR="00EF249C" w:rsidRPr="00EF249C" w:rsidRDefault="00EF249C" w:rsidP="00EF249C">
        <w:pPr>
          <w:pStyle w:val="Piedepgina"/>
          <w:tabs>
            <w:tab w:val="clear" w:pos="4252"/>
            <w:tab w:val="clear" w:pos="8504"/>
            <w:tab w:val="right" w:pos="9809"/>
          </w:tabs>
          <w:rPr>
            <w:rFonts w:ascii="Adobe Caslon Pro" w:hAnsi="Adobe Caslon Pro"/>
          </w:rPr>
        </w:pPr>
        <w:r w:rsidRPr="00EF249C">
          <w:rPr>
            <w:rFonts w:ascii="Trajan Pro" w:hAnsi="Trajan Pro"/>
            <w:b/>
            <w:color w:val="A50021"/>
          </w:rPr>
          <w:t>Primer Informe Trimestral 2013</w:t>
        </w:r>
        <w:r w:rsidRPr="00EF249C">
          <w:rPr>
            <w:rFonts w:ascii="Adobe Caslon Pro" w:hAnsi="Adobe Caslon Pro"/>
          </w:rPr>
          <w:tab/>
        </w:r>
      </w:p>
      <w:p w:rsidR="00C426E3" w:rsidRPr="00EF249C" w:rsidRDefault="002E2EF7" w:rsidP="002A33ED">
        <w:pPr>
          <w:pStyle w:val="Piedepgina"/>
          <w:jc w:val="right"/>
          <w:rPr>
            <w:rFonts w:ascii="Adobe Caslon Pro" w:hAnsi="Adobe Caslon Pro"/>
            <w:sz w:val="20"/>
            <w:szCs w:val="20"/>
          </w:rPr>
        </w:pPr>
        <w:r w:rsidRPr="00EF249C">
          <w:rPr>
            <w:rFonts w:ascii="Adobe Caslon Pro" w:hAnsi="Adobe Caslon Pro"/>
            <w:sz w:val="20"/>
            <w:szCs w:val="20"/>
          </w:rPr>
          <w:fldChar w:fldCharType="begin"/>
        </w:r>
        <w:r w:rsidR="002D05A6" w:rsidRPr="00EF249C">
          <w:rPr>
            <w:rFonts w:ascii="Adobe Caslon Pro" w:hAnsi="Adobe Caslon Pro"/>
            <w:sz w:val="20"/>
            <w:szCs w:val="20"/>
          </w:rPr>
          <w:instrText xml:space="preserve"> PAGE   \* MERGEFORMAT </w:instrText>
        </w:r>
        <w:r w:rsidRPr="00EF249C">
          <w:rPr>
            <w:rFonts w:ascii="Adobe Caslon Pro" w:hAnsi="Adobe Caslon Pro"/>
            <w:sz w:val="20"/>
            <w:szCs w:val="20"/>
          </w:rPr>
          <w:fldChar w:fldCharType="separate"/>
        </w:r>
        <w:r w:rsidR="00786AB4">
          <w:rPr>
            <w:rFonts w:ascii="Adobe Caslon Pro" w:hAnsi="Adobe Caslon Pro"/>
            <w:noProof/>
            <w:sz w:val="20"/>
            <w:szCs w:val="20"/>
          </w:rPr>
          <w:t>13</w:t>
        </w:r>
        <w:r w:rsidRPr="00EF249C">
          <w:rPr>
            <w:rFonts w:ascii="Adobe Caslon Pro" w:hAnsi="Adobe Caslon Pro"/>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D4F" w:rsidRDefault="00454D4F" w:rsidP="000B17C2">
      <w:pPr>
        <w:spacing w:after="0" w:line="240" w:lineRule="auto"/>
      </w:pPr>
      <w:r>
        <w:separator/>
      </w:r>
    </w:p>
    <w:p w:rsidR="00454D4F" w:rsidRDefault="00454D4F"/>
  </w:footnote>
  <w:footnote w:type="continuationSeparator" w:id="0">
    <w:p w:rsidR="00454D4F" w:rsidRDefault="00454D4F" w:rsidP="000B17C2">
      <w:pPr>
        <w:spacing w:after="0" w:line="240" w:lineRule="auto"/>
      </w:pPr>
      <w:r>
        <w:continuationSeparator/>
      </w:r>
    </w:p>
    <w:p w:rsidR="00454D4F" w:rsidRDefault="00454D4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68B" w:rsidRDefault="0022168B" w:rsidP="0022168B">
    <w:pPr>
      <w:pStyle w:val="10Imagenescentradas"/>
    </w:pPr>
    <w:r>
      <w:rPr>
        <w:noProof/>
        <w:lang w:val="es-MX" w:eastAsia="es-MX"/>
      </w:rPr>
      <w:drawing>
        <wp:inline distT="0" distB="0" distL="0" distR="0">
          <wp:extent cx="6300000" cy="579381"/>
          <wp:effectExtent l="0" t="0" r="571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x1 para migrantes.png"/>
                  <pic:cNvPicPr/>
                </pic:nvPicPr>
                <pic:blipFill>
                  <a:blip r:embed="rId1">
                    <a:extLst>
                      <a:ext uri="{28A0092B-C50C-407E-A947-70E740481C1C}">
                        <a14:useLocalDpi xmlns:a14="http://schemas.microsoft.com/office/drawing/2010/main" val="0"/>
                      </a:ext>
                    </a:extLst>
                  </a:blip>
                  <a:stretch>
                    <a:fillRect/>
                  </a:stretch>
                </pic:blipFill>
                <pic:spPr>
                  <a:xfrm>
                    <a:off x="0" y="0"/>
                    <a:ext cx="6300000" cy="57938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30pt;height:22.5pt" o:bullet="t">
        <v:imagedata r:id="rId1" o:title="viñeta01"/>
      </v:shape>
    </w:pict>
  </w:numPicBullet>
  <w:numPicBullet w:numPicBulletId="1">
    <w:pict>
      <v:shape id="_x0000_i1096" type="#_x0000_t75" style="width:33pt;height:24pt" o:bullet="t">
        <v:imagedata r:id="rId2" o:title="viñeta01"/>
      </v:shape>
    </w:pict>
  </w:numPicBullet>
  <w:numPicBullet w:numPicBulletId="2">
    <w:pict>
      <v:shape id="_x0000_i1097" type="#_x0000_t75" style="width:40.5pt;height:33pt" o:bullet="t">
        <v:imagedata r:id="rId3" o:title="viñeta01"/>
      </v:shape>
    </w:pict>
  </w:numPicBullet>
  <w:numPicBullet w:numPicBulletId="3">
    <w:pict>
      <v:shape id="_x0000_i1098" type="#_x0000_t75" style="width:40.5pt;height:33pt" o:bullet="t">
        <v:imagedata r:id="rId4" o:title="viñeta02"/>
      </v:shape>
    </w:pict>
  </w:numPicBullet>
  <w:numPicBullet w:numPicBulletId="4">
    <w:pict>
      <v:shape id="_x0000_i1099" type="#_x0000_t75" style="width:42pt;height:39pt" o:bullet="t">
        <v:imagedata r:id="rId5" o:title="viñeta02"/>
      </v:shape>
    </w:pict>
  </w:numPicBullet>
  <w:numPicBullet w:numPicBulletId="5">
    <w:pict>
      <v:shape id="_x0000_i1100" type="#_x0000_t75" style="width:42pt;height:33pt" o:bullet="t">
        <v:imagedata r:id="rId6" o:title="viñeta03"/>
      </v:shape>
    </w:pict>
  </w:numPicBullet>
  <w:numPicBullet w:numPicBulletId="6">
    <w:pict>
      <v:shape id="_x0000_i1101" type="#_x0000_t75" style="width:42pt;height:31.5pt" o:bullet="t">
        <v:imagedata r:id="rId7" o:title="viñeta01"/>
      </v:shape>
    </w:pict>
  </w:numPicBullet>
  <w:numPicBullet w:numPicBulletId="7">
    <w:pict>
      <v:shape id="_x0000_i1102" type="#_x0000_t75" style="width:42pt;height:34.5pt" o:bullet="t">
        <v:imagedata r:id="rId8" o:title="viñeta02"/>
      </v:shape>
    </w:pict>
  </w:numPicBullet>
  <w:numPicBullet w:numPicBulletId="8">
    <w:pict>
      <v:shape id="_x0000_i1103" type="#_x0000_t75" style="width:42pt;height:31.5pt" o:bullet="t">
        <v:imagedata r:id="rId9" o:title="viñeta02"/>
      </v:shape>
    </w:pict>
  </w:numPicBullet>
  <w:numPicBullet w:numPicBulletId="9">
    <w:pict>
      <v:shape id="_x0000_i1104" type="#_x0000_t75" style="width:37.5pt;height:30pt" o:bullet="t">
        <v:imagedata r:id="rId10" o:title="viñeta02"/>
      </v:shape>
    </w:pict>
  </w:numPicBullet>
  <w:numPicBullet w:numPicBulletId="10">
    <w:pict>
      <v:shape id="_x0000_i1105" type="#_x0000_t75" style="width:24pt;height:24pt" o:bullet="t">
        <v:imagedata r:id="rId11" o:title="viñeta_ind"/>
      </v:shape>
    </w:pict>
  </w:numPicBullet>
  <w:numPicBullet w:numPicBulletId="11">
    <w:pict>
      <v:shape id="_x0000_i1106" type="#_x0000_t75" style="width:42pt;height:31.5pt" o:bullet="t">
        <v:imagedata r:id="rId12" o:title="viñeta01"/>
      </v:shape>
    </w:pict>
  </w:numPicBullet>
  <w:numPicBullet w:numPicBulletId="12">
    <w:pict>
      <v:shape id="_x0000_i1107" type="#_x0000_t75" style="width:37.5pt;height:30pt" o:bullet="t">
        <v:imagedata r:id="rId13" o:title="viñeta02"/>
      </v:shape>
    </w:pict>
  </w:numPicBullet>
  <w:numPicBullet w:numPicBulletId="13">
    <w:pict>
      <v:shape id="_x0000_i1108" type="#_x0000_t75" style="width:70.5pt;height:70.5pt" o:bullet="t">
        <v:imagedata r:id="rId14" o:title="viñeta01_circ"/>
      </v:shape>
    </w:pict>
  </w:numPicBullet>
  <w:numPicBullet w:numPicBulletId="14">
    <w:pict>
      <v:shape id="_x0000_i1109" type="#_x0000_t75" style="width:70.5pt;height:70.5pt" o:bullet="t">
        <v:imagedata r:id="rId15" o:title="viñeta02_circ"/>
      </v:shape>
    </w:pict>
  </w:numPicBullet>
  <w:numPicBullet w:numPicBulletId="15">
    <w:pict>
      <v:shape id="_x0000_i1110" type="#_x0000_t75" style="width:70.5pt;height:70.5pt" o:bullet="t">
        <v:imagedata r:id="rId16" o:title="viñeta03_circ"/>
      </v:shape>
    </w:pict>
  </w:numPicBullet>
  <w:numPicBullet w:numPicBulletId="16">
    <w:pict>
      <v:shape id="_x0000_i1111" type="#_x0000_t75" style="width:94.5pt;height:88.5pt" o:bullet="t">
        <v:imagedata r:id="rId17" o:title="viñeta01_circ"/>
      </v:shape>
    </w:pict>
  </w:numPicBullet>
  <w:numPicBullet w:numPicBulletId="17">
    <w:pict>
      <v:shape id="_x0000_i1112" type="#_x0000_t75" style="width:96pt;height:94.5pt" o:bullet="t">
        <v:imagedata r:id="rId18" o:title="viñeta02_circ"/>
      </v:shape>
    </w:pict>
  </w:numPicBullet>
  <w:numPicBullet w:numPicBulletId="18">
    <w:pict>
      <v:shape id="_x0000_i1113" type="#_x0000_t75" style="width:97.5pt;height:94.5pt" o:bullet="t">
        <v:imagedata r:id="rId19" o:title="viñeta03_circ"/>
      </v:shape>
    </w:pict>
  </w:numPicBullet>
  <w:numPicBullet w:numPicBulletId="19">
    <w:pict>
      <v:shape id="_x0000_i1114" type="#_x0000_t75" style="width:94.5pt;height:94.5pt" o:bullet="t">
        <v:imagedata r:id="rId20" o:title="v01_cirsom"/>
      </v:shape>
    </w:pict>
  </w:numPicBullet>
  <w:numPicBullet w:numPicBulletId="20">
    <w:pict>
      <v:shape id="_x0000_i1115" type="#_x0000_t75" style="width:111pt;height:112.5pt" o:bullet="t">
        <v:imagedata r:id="rId21" o:title="v02_cirsom"/>
      </v:shape>
    </w:pict>
  </w:numPicBullet>
  <w:numPicBullet w:numPicBulletId="21">
    <w:pict>
      <v:shape id="_x0000_i1116" type="#_x0000_t75" style="width:94.5pt;height:96pt" o:bullet="t">
        <v:imagedata r:id="rId22" o:title="v02_cirsom"/>
      </v:shape>
    </w:pict>
  </w:numPicBullet>
  <w:numPicBullet w:numPicBulletId="22">
    <w:pict>
      <v:shape id="_x0000_i1117" type="#_x0000_t75" style="width:102pt;height:105pt" o:bullet="t">
        <v:imagedata r:id="rId23" o:title="viñeta001"/>
      </v:shape>
    </w:pict>
  </w:numPicBullet>
  <w:abstractNum w:abstractNumId="0">
    <w:nsid w:val="00000009"/>
    <w:multiLevelType w:val="multilevel"/>
    <w:tmpl w:val="00000009"/>
    <w:name w:val="WW8Num21"/>
    <w:lvl w:ilvl="0">
      <w:start w:val="1"/>
      <w:numFmt w:val="bullet"/>
      <w:lvlText w:val="–"/>
      <w:lvlJc w:val="left"/>
      <w:pPr>
        <w:tabs>
          <w:tab w:val="num" w:pos="720"/>
        </w:tabs>
        <w:ind w:left="720" w:hanging="360"/>
      </w:pPr>
      <w:rPr>
        <w:rFonts w:ascii="Presidencia Firme" w:hAnsi="Presidencia Firme" w:cs="Presidencia Firme"/>
        <w:b/>
        <w:i w:val="0"/>
        <w:outline w:val="0"/>
        <w:shadow/>
        <w:color w:val="CC0066"/>
        <w:sz w:val="32"/>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690691D"/>
    <w:multiLevelType w:val="hybridMultilevel"/>
    <w:tmpl w:val="07C43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87D4D5E"/>
    <w:multiLevelType w:val="hybridMultilevel"/>
    <w:tmpl w:val="ADE6CFA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0CD45E3B"/>
    <w:multiLevelType w:val="hybridMultilevel"/>
    <w:tmpl w:val="295E3DB2"/>
    <w:lvl w:ilvl="0" w:tplc="DC7AC52A">
      <w:start w:val="1"/>
      <w:numFmt w:val="bullet"/>
      <w:lvlText w:val="–"/>
      <w:lvlJc w:val="left"/>
      <w:pPr>
        <w:ind w:left="1069" w:hanging="360"/>
      </w:pPr>
      <w:rPr>
        <w:rFonts w:ascii="Presidencia Firme" w:hAnsi="Presidencia Firme" w:hint="default"/>
        <w:b/>
        <w:i w:val="0"/>
        <w:shadow/>
        <w:emboss w:val="0"/>
        <w:imprint w:val="0"/>
        <w:color w:val="595959" w:themeColor="text1" w:themeTint="A6"/>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E86583E"/>
    <w:multiLevelType w:val="hybridMultilevel"/>
    <w:tmpl w:val="FA3C6218"/>
    <w:lvl w:ilvl="0" w:tplc="0C0A0001">
      <w:start w:val="1"/>
      <w:numFmt w:val="bullet"/>
      <w:pStyle w:val="11Indicevietas"/>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B8D1897"/>
    <w:multiLevelType w:val="hybridMultilevel"/>
    <w:tmpl w:val="2A08FDD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1BB65B2B"/>
    <w:multiLevelType w:val="hybridMultilevel"/>
    <w:tmpl w:val="4ADE966A"/>
    <w:lvl w:ilvl="0" w:tplc="09D22238">
      <w:start w:val="1"/>
      <w:numFmt w:val="bullet"/>
      <w:lvlText w:val=""/>
      <w:lvlJc w:val="left"/>
      <w:pPr>
        <w:ind w:left="717" w:hanging="360"/>
      </w:pPr>
      <w:rPr>
        <w:rFonts w:ascii="Wingdings" w:hAnsi="Wingdings" w:hint="default"/>
        <w:b/>
        <w:i w:val="0"/>
        <w:strike w:val="0"/>
        <w:dstrike w:val="0"/>
        <w:outline w:val="0"/>
        <w:shadow/>
        <w:emboss w:val="0"/>
        <w:imprint w:val="0"/>
        <w:color w:val="595959" w:themeColor="text1" w:themeTint="A6"/>
        <w:sz w:val="24"/>
        <w:szCs w:val="22"/>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4F469EC"/>
    <w:multiLevelType w:val="hybridMultilevel"/>
    <w:tmpl w:val="904297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70946C9"/>
    <w:multiLevelType w:val="hybridMultilevel"/>
    <w:tmpl w:val="9C9CACB4"/>
    <w:lvl w:ilvl="0" w:tplc="5B5072D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8057915"/>
    <w:multiLevelType w:val="hybridMultilevel"/>
    <w:tmpl w:val="CE04F4CE"/>
    <w:lvl w:ilvl="0" w:tplc="A314E6F6">
      <w:start w:val="1"/>
      <w:numFmt w:val="bullet"/>
      <w:lvlText w:val=""/>
      <w:lvlPicBulletId w:val="22"/>
      <w:lvlJc w:val="left"/>
      <w:pPr>
        <w:ind w:left="360" w:hanging="360"/>
      </w:pPr>
      <w:rPr>
        <w:rFonts w:ascii="Symbol" w:hAnsi="Symbol" w:hint="default"/>
        <w:color w:val="auto"/>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2F0F7F6B"/>
    <w:multiLevelType w:val="hybridMultilevel"/>
    <w:tmpl w:val="13AE5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50482C"/>
    <w:multiLevelType w:val="hybridMultilevel"/>
    <w:tmpl w:val="1BBA348C"/>
    <w:lvl w:ilvl="0" w:tplc="E214D77A">
      <w:start w:val="1"/>
      <w:numFmt w:val="bullet"/>
      <w:lvlText w:val=""/>
      <w:lvlJc w:val="left"/>
      <w:pPr>
        <w:ind w:left="1398" w:hanging="360"/>
      </w:pPr>
      <w:rPr>
        <w:rFonts w:ascii="Wingdings 3" w:hAnsi="Wingdings 3" w:hint="default"/>
        <w:b/>
        <w:i w:val="0"/>
        <w:outline w:val="0"/>
        <w:shadow/>
        <w:emboss w:val="0"/>
        <w:imprint w:val="0"/>
        <w:color w:val="595959" w:themeColor="text1" w:themeTint="A6"/>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17B0051"/>
    <w:multiLevelType w:val="hybridMultilevel"/>
    <w:tmpl w:val="970AE1BA"/>
    <w:lvl w:ilvl="0" w:tplc="841830A2">
      <w:start w:val="1"/>
      <w:numFmt w:val="bullet"/>
      <w:lvlText w:val="-"/>
      <w:lvlJc w:val="left"/>
      <w:pPr>
        <w:ind w:left="360" w:hanging="360"/>
      </w:pPr>
      <w:rPr>
        <w:rFonts w:ascii="Presidencia Base CC" w:hAnsi="Presidencia Base CC" w:hint="default"/>
        <w:sz w:val="18"/>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45F569C"/>
    <w:multiLevelType w:val="hybridMultilevel"/>
    <w:tmpl w:val="C3E6CED6"/>
    <w:lvl w:ilvl="0" w:tplc="FA3691DA">
      <w:start w:val="1"/>
      <w:numFmt w:val="bullet"/>
      <w:pStyle w:val="11BVietas"/>
      <w:lvlText w:val=""/>
      <w:lvlJc w:val="left"/>
      <w:pPr>
        <w:ind w:left="720" w:hanging="360"/>
      </w:pPr>
      <w:rPr>
        <w:rFonts w:ascii="Webdings" w:hAnsi="Webdings" w:hint="default"/>
        <w:shadow/>
        <w:emboss w:val="0"/>
        <w:imprint w:val="0"/>
        <w:color w:val="A50021"/>
        <w:sz w:val="32"/>
        <w:szCs w:val="24"/>
      </w:rPr>
    </w:lvl>
    <w:lvl w:ilvl="1" w:tplc="5DF4DD2E">
      <w:start w:val="3"/>
      <w:numFmt w:val="bullet"/>
      <w:lvlText w:val="-"/>
      <w:lvlJc w:val="left"/>
      <w:pPr>
        <w:tabs>
          <w:tab w:val="num" w:pos="454"/>
        </w:tabs>
        <w:ind w:left="454" w:hanging="170"/>
      </w:pPr>
      <w:rPr>
        <w:rFonts w:ascii="Arial Narrow" w:eastAsia="Times New Roman" w:hAnsi="Arial Narrow" w:cs="Arial" w:hint="default"/>
        <w:color w:val="auto"/>
        <w:sz w:val="24"/>
        <w:szCs w:val="24"/>
      </w:rPr>
    </w:lvl>
    <w:lvl w:ilvl="2" w:tplc="8E20F570">
      <w:start w:val="1"/>
      <w:numFmt w:val="decimal"/>
      <w:lvlText w:val="%3."/>
      <w:lvlJc w:val="left"/>
      <w:pPr>
        <w:tabs>
          <w:tab w:val="num" w:pos="2160"/>
        </w:tabs>
        <w:ind w:left="2160" w:hanging="360"/>
      </w:pPr>
    </w:lvl>
    <w:lvl w:ilvl="3" w:tplc="8FA29B28">
      <w:start w:val="1"/>
      <w:numFmt w:val="decimal"/>
      <w:lvlText w:val="%4."/>
      <w:lvlJc w:val="left"/>
      <w:pPr>
        <w:tabs>
          <w:tab w:val="num" w:pos="2880"/>
        </w:tabs>
        <w:ind w:left="2880" w:hanging="360"/>
      </w:pPr>
    </w:lvl>
    <w:lvl w:ilvl="4" w:tplc="BC745D7C">
      <w:start w:val="1"/>
      <w:numFmt w:val="decimal"/>
      <w:lvlText w:val="%5."/>
      <w:lvlJc w:val="left"/>
      <w:pPr>
        <w:tabs>
          <w:tab w:val="num" w:pos="3600"/>
        </w:tabs>
        <w:ind w:left="3600" w:hanging="360"/>
      </w:pPr>
    </w:lvl>
    <w:lvl w:ilvl="5" w:tplc="FB7092E4">
      <w:start w:val="1"/>
      <w:numFmt w:val="decimal"/>
      <w:lvlText w:val="%6."/>
      <w:lvlJc w:val="left"/>
      <w:pPr>
        <w:tabs>
          <w:tab w:val="num" w:pos="4320"/>
        </w:tabs>
        <w:ind w:left="4320" w:hanging="360"/>
      </w:pPr>
    </w:lvl>
    <w:lvl w:ilvl="6" w:tplc="D0E80DDA">
      <w:start w:val="1"/>
      <w:numFmt w:val="decimal"/>
      <w:lvlText w:val="%7."/>
      <w:lvlJc w:val="left"/>
      <w:pPr>
        <w:tabs>
          <w:tab w:val="num" w:pos="5040"/>
        </w:tabs>
        <w:ind w:left="5040" w:hanging="360"/>
      </w:pPr>
    </w:lvl>
    <w:lvl w:ilvl="7" w:tplc="AC98B4EE">
      <w:start w:val="1"/>
      <w:numFmt w:val="decimal"/>
      <w:lvlText w:val="%8."/>
      <w:lvlJc w:val="left"/>
      <w:pPr>
        <w:tabs>
          <w:tab w:val="num" w:pos="5760"/>
        </w:tabs>
        <w:ind w:left="5760" w:hanging="360"/>
      </w:pPr>
    </w:lvl>
    <w:lvl w:ilvl="8" w:tplc="7D640428">
      <w:start w:val="1"/>
      <w:numFmt w:val="decimal"/>
      <w:lvlText w:val="%9."/>
      <w:lvlJc w:val="left"/>
      <w:pPr>
        <w:tabs>
          <w:tab w:val="num" w:pos="6480"/>
        </w:tabs>
        <w:ind w:left="6480" w:hanging="360"/>
      </w:pPr>
    </w:lvl>
  </w:abstractNum>
  <w:abstractNum w:abstractNumId="14">
    <w:nsid w:val="3B683F8A"/>
    <w:multiLevelType w:val="hybridMultilevel"/>
    <w:tmpl w:val="6832A8F0"/>
    <w:lvl w:ilvl="0" w:tplc="7930B07A">
      <w:start w:val="1"/>
      <w:numFmt w:val="bullet"/>
      <w:lvlText w:val=""/>
      <w:lvlJc w:val="left"/>
      <w:pPr>
        <w:ind w:left="720" w:hanging="360"/>
      </w:pPr>
      <w:rPr>
        <w:rFonts w:ascii="Symbol" w:hAnsi="Symbol" w:hint="default"/>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C4565A5"/>
    <w:multiLevelType w:val="hybridMultilevel"/>
    <w:tmpl w:val="6622C5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0E02305"/>
    <w:multiLevelType w:val="hybridMultilevel"/>
    <w:tmpl w:val="155273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1517084"/>
    <w:multiLevelType w:val="hybridMultilevel"/>
    <w:tmpl w:val="586C803E"/>
    <w:lvl w:ilvl="0" w:tplc="C4544C66">
      <w:start w:val="1"/>
      <w:numFmt w:val="bullet"/>
      <w:lvlText w:val=""/>
      <w:lvlJc w:val="left"/>
      <w:pPr>
        <w:ind w:left="360" w:hanging="360"/>
      </w:pPr>
      <w:rPr>
        <w:rFonts w:ascii="Symbol" w:hAnsi="Symbol" w:hint="default"/>
        <w:shadow/>
        <w:emboss w:val="0"/>
        <w:imprint w:val="0"/>
        <w:color w:val="A5002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2046045"/>
    <w:multiLevelType w:val="hybridMultilevel"/>
    <w:tmpl w:val="EC66A06A"/>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9">
    <w:nsid w:val="427F3622"/>
    <w:multiLevelType w:val="hybridMultilevel"/>
    <w:tmpl w:val="E4A2C7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3C77049"/>
    <w:multiLevelType w:val="hybridMultilevel"/>
    <w:tmpl w:val="F5126E44"/>
    <w:lvl w:ilvl="0" w:tplc="AA2267D8">
      <w:start w:val="1"/>
      <w:numFmt w:val="bullet"/>
      <w:lvlText w:val=""/>
      <w:lvlJc w:val="left"/>
      <w:pPr>
        <w:ind w:left="717" w:hanging="360"/>
      </w:pPr>
      <w:rPr>
        <w:rFonts w:ascii="Wingdings" w:hAnsi="Wingdings" w:hint="default"/>
        <w:b/>
        <w:i w:val="0"/>
        <w:strike w:val="0"/>
        <w:dstrike w:val="0"/>
        <w:outline w:val="0"/>
        <w:shadow/>
        <w:emboss w:val="0"/>
        <w:imprint w:val="0"/>
        <w:color w:val="7F7F7F" w:themeColor="text1" w:themeTint="80"/>
        <w:sz w:val="20"/>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6C77EA4"/>
    <w:multiLevelType w:val="hybridMultilevel"/>
    <w:tmpl w:val="1786B78A"/>
    <w:lvl w:ilvl="0" w:tplc="ABA0ABD2">
      <w:start w:val="1"/>
      <w:numFmt w:val="bullet"/>
      <w:pStyle w:val="05Vieta01"/>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8453BA3"/>
    <w:multiLevelType w:val="hybridMultilevel"/>
    <w:tmpl w:val="871CD332"/>
    <w:lvl w:ilvl="0" w:tplc="AC62CC86">
      <w:start w:val="1"/>
      <w:numFmt w:val="bullet"/>
      <w:lvlText w:val=""/>
      <w:lvlJc w:val="left"/>
      <w:pPr>
        <w:ind w:left="720" w:hanging="360"/>
      </w:pPr>
      <w:rPr>
        <w:rFonts w:ascii="Wingdings" w:hAnsi="Wingdings" w:hint="default"/>
        <w:b/>
        <w:i w:val="0"/>
        <w:strike w:val="0"/>
        <w:dstrike w:val="0"/>
        <w:outline w:val="0"/>
        <w:shadow/>
        <w:emboss w:val="0"/>
        <w:imprint w:val="0"/>
        <w:color w:val="B40077"/>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88306D8"/>
    <w:multiLevelType w:val="hybridMultilevel"/>
    <w:tmpl w:val="9C1A2C5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nsid w:val="4BE26953"/>
    <w:multiLevelType w:val="hybridMultilevel"/>
    <w:tmpl w:val="EA2E8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221CDC"/>
    <w:multiLevelType w:val="hybridMultilevel"/>
    <w:tmpl w:val="08A4DA54"/>
    <w:lvl w:ilvl="0" w:tplc="490E2766">
      <w:start w:val="1"/>
      <w:numFmt w:val="bullet"/>
      <w:pStyle w:val="07Vieta03"/>
      <w:lvlText w:val=""/>
      <w:lvlJc w:val="left"/>
      <w:pPr>
        <w:ind w:left="1758" w:hanging="360"/>
      </w:pPr>
      <w:rPr>
        <w:rFonts w:ascii="Wingdings" w:hAnsi="Wingdings" w:hint="default"/>
        <w:b/>
        <w:i w:val="0"/>
        <w:shadow/>
        <w:emboss w:val="0"/>
        <w:imprint w:val="0"/>
        <w:color w:val="A50021"/>
        <w:sz w:val="24"/>
      </w:rPr>
    </w:lvl>
    <w:lvl w:ilvl="1" w:tplc="080A0003" w:tentative="1">
      <w:start w:val="1"/>
      <w:numFmt w:val="bullet"/>
      <w:lvlText w:val="o"/>
      <w:lvlJc w:val="left"/>
      <w:pPr>
        <w:ind w:left="2478" w:hanging="360"/>
      </w:pPr>
      <w:rPr>
        <w:rFonts w:ascii="Courier New" w:hAnsi="Courier New" w:cs="Courier New" w:hint="default"/>
      </w:rPr>
    </w:lvl>
    <w:lvl w:ilvl="2" w:tplc="080A0005" w:tentative="1">
      <w:start w:val="1"/>
      <w:numFmt w:val="bullet"/>
      <w:lvlText w:val=""/>
      <w:lvlJc w:val="left"/>
      <w:pPr>
        <w:ind w:left="3198" w:hanging="360"/>
      </w:pPr>
      <w:rPr>
        <w:rFonts w:ascii="Wingdings" w:hAnsi="Wingdings" w:hint="default"/>
      </w:rPr>
    </w:lvl>
    <w:lvl w:ilvl="3" w:tplc="080A0001" w:tentative="1">
      <w:start w:val="1"/>
      <w:numFmt w:val="bullet"/>
      <w:lvlText w:val=""/>
      <w:lvlJc w:val="left"/>
      <w:pPr>
        <w:ind w:left="3918" w:hanging="360"/>
      </w:pPr>
      <w:rPr>
        <w:rFonts w:ascii="Symbol" w:hAnsi="Symbol" w:hint="default"/>
      </w:rPr>
    </w:lvl>
    <w:lvl w:ilvl="4" w:tplc="080A0003" w:tentative="1">
      <w:start w:val="1"/>
      <w:numFmt w:val="bullet"/>
      <w:lvlText w:val="o"/>
      <w:lvlJc w:val="left"/>
      <w:pPr>
        <w:ind w:left="4638" w:hanging="360"/>
      </w:pPr>
      <w:rPr>
        <w:rFonts w:ascii="Courier New" w:hAnsi="Courier New" w:cs="Courier New" w:hint="default"/>
      </w:rPr>
    </w:lvl>
    <w:lvl w:ilvl="5" w:tplc="080A0005" w:tentative="1">
      <w:start w:val="1"/>
      <w:numFmt w:val="bullet"/>
      <w:lvlText w:val=""/>
      <w:lvlJc w:val="left"/>
      <w:pPr>
        <w:ind w:left="5358" w:hanging="360"/>
      </w:pPr>
      <w:rPr>
        <w:rFonts w:ascii="Wingdings" w:hAnsi="Wingdings" w:hint="default"/>
      </w:rPr>
    </w:lvl>
    <w:lvl w:ilvl="6" w:tplc="080A0001" w:tentative="1">
      <w:start w:val="1"/>
      <w:numFmt w:val="bullet"/>
      <w:lvlText w:val=""/>
      <w:lvlJc w:val="left"/>
      <w:pPr>
        <w:ind w:left="6078" w:hanging="360"/>
      </w:pPr>
      <w:rPr>
        <w:rFonts w:ascii="Symbol" w:hAnsi="Symbol" w:hint="default"/>
      </w:rPr>
    </w:lvl>
    <w:lvl w:ilvl="7" w:tplc="080A0003" w:tentative="1">
      <w:start w:val="1"/>
      <w:numFmt w:val="bullet"/>
      <w:lvlText w:val="o"/>
      <w:lvlJc w:val="left"/>
      <w:pPr>
        <w:ind w:left="6798" w:hanging="360"/>
      </w:pPr>
      <w:rPr>
        <w:rFonts w:ascii="Courier New" w:hAnsi="Courier New" w:cs="Courier New" w:hint="default"/>
      </w:rPr>
    </w:lvl>
    <w:lvl w:ilvl="8" w:tplc="080A0005" w:tentative="1">
      <w:start w:val="1"/>
      <w:numFmt w:val="bullet"/>
      <w:lvlText w:val=""/>
      <w:lvlJc w:val="left"/>
      <w:pPr>
        <w:ind w:left="7518" w:hanging="360"/>
      </w:pPr>
      <w:rPr>
        <w:rFonts w:ascii="Wingdings" w:hAnsi="Wingdings" w:hint="default"/>
      </w:rPr>
    </w:lvl>
  </w:abstractNum>
  <w:abstractNum w:abstractNumId="26">
    <w:nsid w:val="56C803F6"/>
    <w:multiLevelType w:val="hybridMultilevel"/>
    <w:tmpl w:val="409C1404"/>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7">
    <w:nsid w:val="575F1DC4"/>
    <w:multiLevelType w:val="hybridMultilevel"/>
    <w:tmpl w:val="51DCFD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A9C6823"/>
    <w:multiLevelType w:val="hybridMultilevel"/>
    <w:tmpl w:val="5274BFA0"/>
    <w:lvl w:ilvl="0" w:tplc="BEC2BD5C">
      <w:start w:val="1"/>
      <w:numFmt w:val="bullet"/>
      <w:lvlRestart w:val="0"/>
      <w:lvlText w:val=""/>
      <w:lvlJc w:val="left"/>
      <w:pPr>
        <w:tabs>
          <w:tab w:val="num" w:pos="1008"/>
        </w:tabs>
        <w:ind w:left="1008"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5B2313F5"/>
    <w:multiLevelType w:val="hybridMultilevel"/>
    <w:tmpl w:val="8F94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6B2732"/>
    <w:multiLevelType w:val="hybridMultilevel"/>
    <w:tmpl w:val="A30A2B3A"/>
    <w:lvl w:ilvl="0" w:tplc="07000F1A">
      <w:start w:val="1"/>
      <w:numFmt w:val="bullet"/>
      <w:pStyle w:val="06Vieta02"/>
      <w:lvlText w:val="–"/>
      <w:lvlJc w:val="left"/>
      <w:pPr>
        <w:ind w:left="717" w:hanging="360"/>
      </w:pPr>
      <w:rPr>
        <w:rFonts w:ascii="Presidencia Firme" w:hAnsi="Presidencia Firme" w:hint="default"/>
        <w:b/>
        <w:i w:val="0"/>
        <w:shadow w:val="0"/>
        <w:emboss w:val="0"/>
        <w:imprint w:val="0"/>
        <w:color w:val="A50021"/>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F141295"/>
    <w:multiLevelType w:val="hybridMultilevel"/>
    <w:tmpl w:val="3936514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nsid w:val="6FD47ADF"/>
    <w:multiLevelType w:val="hybridMultilevel"/>
    <w:tmpl w:val="1C02C6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0374F68"/>
    <w:multiLevelType w:val="hybridMultilevel"/>
    <w:tmpl w:val="FCC2522A"/>
    <w:lvl w:ilvl="0" w:tplc="91FE5136">
      <w:start w:val="1"/>
      <w:numFmt w:val="bullet"/>
      <w:lvlText w:val=""/>
      <w:lvlJc w:val="left"/>
      <w:pPr>
        <w:ind w:left="720" w:hanging="360"/>
      </w:pPr>
      <w:rPr>
        <w:rFonts w:ascii="Symbol" w:hAnsi="Symbol" w:hint="default"/>
        <w:u w:color="7F7F7F" w:themeColor="text1" w:themeTint="8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5C71A67"/>
    <w:multiLevelType w:val="hybridMultilevel"/>
    <w:tmpl w:val="42148CB2"/>
    <w:lvl w:ilvl="0" w:tplc="92368CA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7EF68A5"/>
    <w:multiLevelType w:val="hybridMultilevel"/>
    <w:tmpl w:val="53762BDC"/>
    <w:lvl w:ilvl="0" w:tplc="0C78963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7FC472F"/>
    <w:multiLevelType w:val="hybridMultilevel"/>
    <w:tmpl w:val="60E829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3"/>
  </w:num>
  <w:num w:numId="4">
    <w:abstractNumId w:val="11"/>
  </w:num>
  <w:num w:numId="5">
    <w:abstractNumId w:val="20"/>
  </w:num>
  <w:num w:numId="6">
    <w:abstractNumId w:val="20"/>
  </w:num>
  <w:num w:numId="7">
    <w:abstractNumId w:val="32"/>
  </w:num>
  <w:num w:numId="8">
    <w:abstractNumId w:val="33"/>
  </w:num>
  <w:num w:numId="9">
    <w:abstractNumId w:val="6"/>
  </w:num>
  <w:num w:numId="10">
    <w:abstractNumId w:val="7"/>
  </w:num>
  <w:num w:numId="11">
    <w:abstractNumId w:val="9"/>
  </w:num>
  <w:num w:numId="12">
    <w:abstractNumId w:val="19"/>
  </w:num>
  <w:num w:numId="13">
    <w:abstractNumId w:val="8"/>
  </w:num>
  <w:num w:numId="14">
    <w:abstractNumId w:val="35"/>
  </w:num>
  <w:num w:numId="15">
    <w:abstractNumId w:val="29"/>
  </w:num>
  <w:num w:numId="16">
    <w:abstractNumId w:val="28"/>
  </w:num>
  <w:num w:numId="17">
    <w:abstractNumId w:val="24"/>
  </w:num>
  <w:num w:numId="18">
    <w:abstractNumId w:val="10"/>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31"/>
  </w:num>
  <w:num w:numId="22">
    <w:abstractNumId w:val="5"/>
  </w:num>
  <w:num w:numId="23">
    <w:abstractNumId w:val="0"/>
  </w:num>
  <w:num w:numId="24">
    <w:abstractNumId w:val="27"/>
  </w:num>
  <w:num w:numId="25">
    <w:abstractNumId w:val="12"/>
  </w:num>
  <w:num w:numId="26">
    <w:abstractNumId w:val="16"/>
  </w:num>
  <w:num w:numId="27">
    <w:abstractNumId w:val="36"/>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
  </w:num>
  <w:num w:numId="31">
    <w:abstractNumId w:val="17"/>
  </w:num>
  <w:num w:numId="3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30"/>
  </w:num>
  <w:num w:numId="35">
    <w:abstractNumId w:val="13"/>
  </w:num>
  <w:num w:numId="36">
    <w:abstractNumId w:val="15"/>
  </w:num>
  <w:num w:numId="37">
    <w:abstractNumId w:val="14"/>
  </w:num>
  <w:num w:numId="38">
    <w:abstractNumId w:val="34"/>
  </w:num>
  <w:num w:numId="39">
    <w:abstractNumId w:val="17"/>
  </w:num>
  <w:num w:numId="40">
    <w:abstractNumId w:val="30"/>
  </w:num>
  <w:num w:numId="41">
    <w:abstractNumId w:val="17"/>
  </w:num>
  <w:num w:numId="42">
    <w:abstractNumId w:val="30"/>
  </w:num>
  <w:num w:numId="43">
    <w:abstractNumId w:val="25"/>
  </w:num>
  <w:num w:numId="44">
    <w:abstractNumId w:val="25"/>
  </w:num>
  <w:num w:numId="45">
    <w:abstractNumId w:val="13"/>
  </w:num>
  <w:num w:numId="46">
    <w:abstractNumId w:val="13"/>
  </w:num>
  <w:num w:numId="47">
    <w:abstractNumId w:val="25"/>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linkStyles/>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49C"/>
    <w:rsid w:val="000055FC"/>
    <w:rsid w:val="00023F44"/>
    <w:rsid w:val="0002470A"/>
    <w:rsid w:val="00025C3D"/>
    <w:rsid w:val="00031066"/>
    <w:rsid w:val="00032EE5"/>
    <w:rsid w:val="000373F1"/>
    <w:rsid w:val="00047283"/>
    <w:rsid w:val="00055AFB"/>
    <w:rsid w:val="000741AD"/>
    <w:rsid w:val="00077762"/>
    <w:rsid w:val="00093ABA"/>
    <w:rsid w:val="00096DED"/>
    <w:rsid w:val="000973C2"/>
    <w:rsid w:val="000975B9"/>
    <w:rsid w:val="000A0BED"/>
    <w:rsid w:val="000A157F"/>
    <w:rsid w:val="000A2066"/>
    <w:rsid w:val="000A40B3"/>
    <w:rsid w:val="000A6670"/>
    <w:rsid w:val="000B0AC4"/>
    <w:rsid w:val="000B17C2"/>
    <w:rsid w:val="000B7A28"/>
    <w:rsid w:val="000C162F"/>
    <w:rsid w:val="000D5F0D"/>
    <w:rsid w:val="000E7A31"/>
    <w:rsid w:val="000F0DD9"/>
    <w:rsid w:val="000F5AD7"/>
    <w:rsid w:val="00105EA9"/>
    <w:rsid w:val="00112984"/>
    <w:rsid w:val="00114BF4"/>
    <w:rsid w:val="00123CD1"/>
    <w:rsid w:val="001250C5"/>
    <w:rsid w:val="00127538"/>
    <w:rsid w:val="00142F80"/>
    <w:rsid w:val="00145FC0"/>
    <w:rsid w:val="00151063"/>
    <w:rsid w:val="001616F0"/>
    <w:rsid w:val="0016378E"/>
    <w:rsid w:val="0016726F"/>
    <w:rsid w:val="00176FE8"/>
    <w:rsid w:val="001A33A3"/>
    <w:rsid w:val="001B1EE1"/>
    <w:rsid w:val="001C6953"/>
    <w:rsid w:val="001D7601"/>
    <w:rsid w:val="001E0EC8"/>
    <w:rsid w:val="001E17FD"/>
    <w:rsid w:val="001E42B3"/>
    <w:rsid w:val="001E4405"/>
    <w:rsid w:val="001E5989"/>
    <w:rsid w:val="001E7048"/>
    <w:rsid w:val="001F65D1"/>
    <w:rsid w:val="001F6854"/>
    <w:rsid w:val="00207D87"/>
    <w:rsid w:val="00213207"/>
    <w:rsid w:val="0022168B"/>
    <w:rsid w:val="00231BCA"/>
    <w:rsid w:val="00237649"/>
    <w:rsid w:val="002478B2"/>
    <w:rsid w:val="002500D2"/>
    <w:rsid w:val="00256589"/>
    <w:rsid w:val="00261DBB"/>
    <w:rsid w:val="00265C6D"/>
    <w:rsid w:val="002768AB"/>
    <w:rsid w:val="00280188"/>
    <w:rsid w:val="002831D3"/>
    <w:rsid w:val="002859FE"/>
    <w:rsid w:val="002868C1"/>
    <w:rsid w:val="00291C86"/>
    <w:rsid w:val="002959BF"/>
    <w:rsid w:val="002A25DE"/>
    <w:rsid w:val="002A33ED"/>
    <w:rsid w:val="002A62C9"/>
    <w:rsid w:val="002B3E69"/>
    <w:rsid w:val="002B7728"/>
    <w:rsid w:val="002C4E2B"/>
    <w:rsid w:val="002C523E"/>
    <w:rsid w:val="002D05A6"/>
    <w:rsid w:val="002D4F80"/>
    <w:rsid w:val="002D5A2F"/>
    <w:rsid w:val="002E2EF7"/>
    <w:rsid w:val="002E55A5"/>
    <w:rsid w:val="002F1CD9"/>
    <w:rsid w:val="002F7FB5"/>
    <w:rsid w:val="003003B2"/>
    <w:rsid w:val="00301575"/>
    <w:rsid w:val="00304B75"/>
    <w:rsid w:val="00312ABF"/>
    <w:rsid w:val="00320119"/>
    <w:rsid w:val="003461CF"/>
    <w:rsid w:val="00361C7C"/>
    <w:rsid w:val="00362A1C"/>
    <w:rsid w:val="003704AB"/>
    <w:rsid w:val="00376298"/>
    <w:rsid w:val="00380B1D"/>
    <w:rsid w:val="003944D2"/>
    <w:rsid w:val="00395857"/>
    <w:rsid w:val="003A387C"/>
    <w:rsid w:val="003B1DE4"/>
    <w:rsid w:val="003B3097"/>
    <w:rsid w:val="003B69D5"/>
    <w:rsid w:val="003C2C13"/>
    <w:rsid w:val="003C3839"/>
    <w:rsid w:val="003E270D"/>
    <w:rsid w:val="003E28A4"/>
    <w:rsid w:val="003E77C8"/>
    <w:rsid w:val="003F1C8C"/>
    <w:rsid w:val="003F240F"/>
    <w:rsid w:val="003F470F"/>
    <w:rsid w:val="003F4E44"/>
    <w:rsid w:val="003F5453"/>
    <w:rsid w:val="003F6323"/>
    <w:rsid w:val="003F6FCC"/>
    <w:rsid w:val="00404CB3"/>
    <w:rsid w:val="00415F20"/>
    <w:rsid w:val="004271BD"/>
    <w:rsid w:val="00436F7C"/>
    <w:rsid w:val="00445242"/>
    <w:rsid w:val="0044724C"/>
    <w:rsid w:val="00454784"/>
    <w:rsid w:val="004548A5"/>
    <w:rsid w:val="00454D4F"/>
    <w:rsid w:val="00454E15"/>
    <w:rsid w:val="004554EA"/>
    <w:rsid w:val="00461085"/>
    <w:rsid w:val="00463055"/>
    <w:rsid w:val="004638F9"/>
    <w:rsid w:val="004705A1"/>
    <w:rsid w:val="004762E7"/>
    <w:rsid w:val="0048172B"/>
    <w:rsid w:val="00486550"/>
    <w:rsid w:val="004959A2"/>
    <w:rsid w:val="00495C45"/>
    <w:rsid w:val="004964C3"/>
    <w:rsid w:val="004A3AC3"/>
    <w:rsid w:val="004A5383"/>
    <w:rsid w:val="004A5FD3"/>
    <w:rsid w:val="004B3EDD"/>
    <w:rsid w:val="004B4BF1"/>
    <w:rsid w:val="004B6B46"/>
    <w:rsid w:val="004C4CD5"/>
    <w:rsid w:val="004C5649"/>
    <w:rsid w:val="004D0C34"/>
    <w:rsid w:val="004D2DF1"/>
    <w:rsid w:val="004D4E47"/>
    <w:rsid w:val="004E27B6"/>
    <w:rsid w:val="004E5918"/>
    <w:rsid w:val="004E65B2"/>
    <w:rsid w:val="004F0C5F"/>
    <w:rsid w:val="004F4D39"/>
    <w:rsid w:val="00500DE2"/>
    <w:rsid w:val="0051335E"/>
    <w:rsid w:val="005141D1"/>
    <w:rsid w:val="00515CF1"/>
    <w:rsid w:val="00522D59"/>
    <w:rsid w:val="00526E21"/>
    <w:rsid w:val="0053457B"/>
    <w:rsid w:val="005346C4"/>
    <w:rsid w:val="00573D2D"/>
    <w:rsid w:val="00586C22"/>
    <w:rsid w:val="00587923"/>
    <w:rsid w:val="00596CFE"/>
    <w:rsid w:val="005B2147"/>
    <w:rsid w:val="005B2527"/>
    <w:rsid w:val="005B644F"/>
    <w:rsid w:val="005C2295"/>
    <w:rsid w:val="005C5D19"/>
    <w:rsid w:val="005F4594"/>
    <w:rsid w:val="00607084"/>
    <w:rsid w:val="00610F81"/>
    <w:rsid w:val="00611348"/>
    <w:rsid w:val="006179AA"/>
    <w:rsid w:val="00624E9A"/>
    <w:rsid w:val="006262A4"/>
    <w:rsid w:val="006308D0"/>
    <w:rsid w:val="00636AA8"/>
    <w:rsid w:val="0065661C"/>
    <w:rsid w:val="00662E5C"/>
    <w:rsid w:val="00663408"/>
    <w:rsid w:val="00673790"/>
    <w:rsid w:val="00694CF3"/>
    <w:rsid w:val="006A1138"/>
    <w:rsid w:val="006B11FB"/>
    <w:rsid w:val="006B1990"/>
    <w:rsid w:val="006B5FB9"/>
    <w:rsid w:val="006D1E63"/>
    <w:rsid w:val="006D4825"/>
    <w:rsid w:val="006D6E0C"/>
    <w:rsid w:val="006E1128"/>
    <w:rsid w:val="006E1F62"/>
    <w:rsid w:val="006F25DF"/>
    <w:rsid w:val="006F2DDC"/>
    <w:rsid w:val="00714D4C"/>
    <w:rsid w:val="00716882"/>
    <w:rsid w:val="00717631"/>
    <w:rsid w:val="00721ECB"/>
    <w:rsid w:val="0073246B"/>
    <w:rsid w:val="00733204"/>
    <w:rsid w:val="0073409F"/>
    <w:rsid w:val="00744815"/>
    <w:rsid w:val="00747F1F"/>
    <w:rsid w:val="00754DBC"/>
    <w:rsid w:val="00760D31"/>
    <w:rsid w:val="0077240F"/>
    <w:rsid w:val="00781EB3"/>
    <w:rsid w:val="007830CA"/>
    <w:rsid w:val="0078422A"/>
    <w:rsid w:val="00786AB4"/>
    <w:rsid w:val="0079514E"/>
    <w:rsid w:val="007A24F3"/>
    <w:rsid w:val="007A394D"/>
    <w:rsid w:val="007A409C"/>
    <w:rsid w:val="007B3037"/>
    <w:rsid w:val="007D0B7F"/>
    <w:rsid w:val="007D2344"/>
    <w:rsid w:val="007D45A8"/>
    <w:rsid w:val="007D6804"/>
    <w:rsid w:val="007D7042"/>
    <w:rsid w:val="007D78A5"/>
    <w:rsid w:val="007E125C"/>
    <w:rsid w:val="007F1E94"/>
    <w:rsid w:val="007F2D2F"/>
    <w:rsid w:val="007F6676"/>
    <w:rsid w:val="00801E69"/>
    <w:rsid w:val="00812F39"/>
    <w:rsid w:val="00815910"/>
    <w:rsid w:val="00826AF4"/>
    <w:rsid w:val="008445FA"/>
    <w:rsid w:val="0087671D"/>
    <w:rsid w:val="008819E5"/>
    <w:rsid w:val="00885894"/>
    <w:rsid w:val="008A2AFF"/>
    <w:rsid w:val="008A74D6"/>
    <w:rsid w:val="008A799E"/>
    <w:rsid w:val="008B6FE6"/>
    <w:rsid w:val="008C4FCE"/>
    <w:rsid w:val="008C7D7B"/>
    <w:rsid w:val="008D07B2"/>
    <w:rsid w:val="008D221F"/>
    <w:rsid w:val="008D3DC4"/>
    <w:rsid w:val="008D7E07"/>
    <w:rsid w:val="008E20CA"/>
    <w:rsid w:val="008F05A5"/>
    <w:rsid w:val="008F49CE"/>
    <w:rsid w:val="008F5F2E"/>
    <w:rsid w:val="00902D79"/>
    <w:rsid w:val="00903A85"/>
    <w:rsid w:val="00906D11"/>
    <w:rsid w:val="00915A15"/>
    <w:rsid w:val="009164F0"/>
    <w:rsid w:val="00920664"/>
    <w:rsid w:val="009230A0"/>
    <w:rsid w:val="009237C5"/>
    <w:rsid w:val="00927262"/>
    <w:rsid w:val="00950BD4"/>
    <w:rsid w:val="00952A8A"/>
    <w:rsid w:val="009576BB"/>
    <w:rsid w:val="00962106"/>
    <w:rsid w:val="009648DE"/>
    <w:rsid w:val="00975E38"/>
    <w:rsid w:val="0098560D"/>
    <w:rsid w:val="009910DF"/>
    <w:rsid w:val="0099524A"/>
    <w:rsid w:val="00997EB8"/>
    <w:rsid w:val="009B42CB"/>
    <w:rsid w:val="009E4E92"/>
    <w:rsid w:val="009E7788"/>
    <w:rsid w:val="009F26A1"/>
    <w:rsid w:val="009F3271"/>
    <w:rsid w:val="00A00E63"/>
    <w:rsid w:val="00A0258C"/>
    <w:rsid w:val="00A2098D"/>
    <w:rsid w:val="00A21735"/>
    <w:rsid w:val="00A22197"/>
    <w:rsid w:val="00A2752C"/>
    <w:rsid w:val="00A41554"/>
    <w:rsid w:val="00A442A0"/>
    <w:rsid w:val="00A50D67"/>
    <w:rsid w:val="00A50D94"/>
    <w:rsid w:val="00A56DB8"/>
    <w:rsid w:val="00A6038C"/>
    <w:rsid w:val="00A614DB"/>
    <w:rsid w:val="00A74D48"/>
    <w:rsid w:val="00A81D88"/>
    <w:rsid w:val="00A90009"/>
    <w:rsid w:val="00A91076"/>
    <w:rsid w:val="00A96319"/>
    <w:rsid w:val="00A967B4"/>
    <w:rsid w:val="00AA0183"/>
    <w:rsid w:val="00AA36C5"/>
    <w:rsid w:val="00AA7A77"/>
    <w:rsid w:val="00AB3037"/>
    <w:rsid w:val="00AB3B31"/>
    <w:rsid w:val="00AB5DDD"/>
    <w:rsid w:val="00AD2DCE"/>
    <w:rsid w:val="00AD5A5C"/>
    <w:rsid w:val="00AE016A"/>
    <w:rsid w:val="00AE1F66"/>
    <w:rsid w:val="00AE3093"/>
    <w:rsid w:val="00AF5B7C"/>
    <w:rsid w:val="00B15155"/>
    <w:rsid w:val="00B16249"/>
    <w:rsid w:val="00B36026"/>
    <w:rsid w:val="00B37F6B"/>
    <w:rsid w:val="00B41866"/>
    <w:rsid w:val="00B539A9"/>
    <w:rsid w:val="00B60CEA"/>
    <w:rsid w:val="00B64811"/>
    <w:rsid w:val="00B90C3D"/>
    <w:rsid w:val="00B95B93"/>
    <w:rsid w:val="00BD5A43"/>
    <w:rsid w:val="00BD6D5F"/>
    <w:rsid w:val="00BE37C3"/>
    <w:rsid w:val="00BE4B41"/>
    <w:rsid w:val="00BF25C3"/>
    <w:rsid w:val="00BF5B3F"/>
    <w:rsid w:val="00C02C0F"/>
    <w:rsid w:val="00C17469"/>
    <w:rsid w:val="00C34490"/>
    <w:rsid w:val="00C426E3"/>
    <w:rsid w:val="00C719EE"/>
    <w:rsid w:val="00C757E4"/>
    <w:rsid w:val="00C9108A"/>
    <w:rsid w:val="00C939B0"/>
    <w:rsid w:val="00C96AD6"/>
    <w:rsid w:val="00C97CEC"/>
    <w:rsid w:val="00CA568E"/>
    <w:rsid w:val="00CB0770"/>
    <w:rsid w:val="00CB1419"/>
    <w:rsid w:val="00CB4B25"/>
    <w:rsid w:val="00CB5AAE"/>
    <w:rsid w:val="00CC194F"/>
    <w:rsid w:val="00CC39D3"/>
    <w:rsid w:val="00CC7FA3"/>
    <w:rsid w:val="00CD2B2C"/>
    <w:rsid w:val="00CD4DF8"/>
    <w:rsid w:val="00CD6A58"/>
    <w:rsid w:val="00CF2187"/>
    <w:rsid w:val="00CF3EBA"/>
    <w:rsid w:val="00D04C74"/>
    <w:rsid w:val="00D07863"/>
    <w:rsid w:val="00D11AE6"/>
    <w:rsid w:val="00D12D68"/>
    <w:rsid w:val="00D14250"/>
    <w:rsid w:val="00D163DA"/>
    <w:rsid w:val="00D203DA"/>
    <w:rsid w:val="00D20B22"/>
    <w:rsid w:val="00D2277C"/>
    <w:rsid w:val="00D245C1"/>
    <w:rsid w:val="00D25296"/>
    <w:rsid w:val="00D254AE"/>
    <w:rsid w:val="00D266EE"/>
    <w:rsid w:val="00D26A20"/>
    <w:rsid w:val="00D4104C"/>
    <w:rsid w:val="00D43C7C"/>
    <w:rsid w:val="00D43DF3"/>
    <w:rsid w:val="00D45CF4"/>
    <w:rsid w:val="00D54307"/>
    <w:rsid w:val="00D602F3"/>
    <w:rsid w:val="00D66ECA"/>
    <w:rsid w:val="00D74439"/>
    <w:rsid w:val="00D74F3F"/>
    <w:rsid w:val="00D756EF"/>
    <w:rsid w:val="00D83F4D"/>
    <w:rsid w:val="00D91123"/>
    <w:rsid w:val="00D942BE"/>
    <w:rsid w:val="00DC2EC4"/>
    <w:rsid w:val="00DD719C"/>
    <w:rsid w:val="00DE760D"/>
    <w:rsid w:val="00DF6FF2"/>
    <w:rsid w:val="00E1668C"/>
    <w:rsid w:val="00E17022"/>
    <w:rsid w:val="00E2462C"/>
    <w:rsid w:val="00E30DB0"/>
    <w:rsid w:val="00E31F2C"/>
    <w:rsid w:val="00E32990"/>
    <w:rsid w:val="00E46FA2"/>
    <w:rsid w:val="00E66C68"/>
    <w:rsid w:val="00E74460"/>
    <w:rsid w:val="00E77F41"/>
    <w:rsid w:val="00E80C7E"/>
    <w:rsid w:val="00E928EA"/>
    <w:rsid w:val="00E9344F"/>
    <w:rsid w:val="00EA3624"/>
    <w:rsid w:val="00EA7714"/>
    <w:rsid w:val="00EB2688"/>
    <w:rsid w:val="00EC5D99"/>
    <w:rsid w:val="00ED7E76"/>
    <w:rsid w:val="00EF249C"/>
    <w:rsid w:val="00F00A7B"/>
    <w:rsid w:val="00F03001"/>
    <w:rsid w:val="00F1407B"/>
    <w:rsid w:val="00F17651"/>
    <w:rsid w:val="00F22B04"/>
    <w:rsid w:val="00F2654D"/>
    <w:rsid w:val="00F316F7"/>
    <w:rsid w:val="00F33109"/>
    <w:rsid w:val="00F35793"/>
    <w:rsid w:val="00F47A1F"/>
    <w:rsid w:val="00F56872"/>
    <w:rsid w:val="00F57CBC"/>
    <w:rsid w:val="00F6070E"/>
    <w:rsid w:val="00F7079E"/>
    <w:rsid w:val="00F75462"/>
    <w:rsid w:val="00F8002D"/>
    <w:rsid w:val="00F82B5B"/>
    <w:rsid w:val="00F90098"/>
    <w:rsid w:val="00F927C0"/>
    <w:rsid w:val="00F941B9"/>
    <w:rsid w:val="00FA01AC"/>
    <w:rsid w:val="00FA4335"/>
    <w:rsid w:val="00FA6CF4"/>
    <w:rsid w:val="00FB381A"/>
    <w:rsid w:val="00FC2A20"/>
    <w:rsid w:val="00FC4218"/>
    <w:rsid w:val="00FC7764"/>
    <w:rsid w:val="00FD301C"/>
    <w:rsid w:val="00FD4FB1"/>
    <w:rsid w:val="00FD5692"/>
    <w:rsid w:val="00FD7FAA"/>
    <w:rsid w:val="00FF3295"/>
    <w:rsid w:val="00FF4107"/>
    <w:rsid w:val="00FF73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2BCDEA-6E2D-4F33-823F-FBBA5F401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EE1"/>
    <w:rPr>
      <w:rFonts w:eastAsiaTheme="minorHAnsi"/>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2T1">
    <w:name w:val="02_T1"/>
    <w:basedOn w:val="Normal"/>
    <w:autoRedefine/>
    <w:qFormat/>
    <w:rsid w:val="001B1EE1"/>
    <w:pPr>
      <w:keepNext/>
      <w:keepLines/>
      <w:spacing w:before="240" w:after="120" w:line="240" w:lineRule="exact"/>
    </w:pPr>
    <w:rPr>
      <w:rFonts w:ascii="Adobe Caslon Pro Bold" w:hAnsi="Adobe Caslon Pro Bold"/>
      <w:b/>
      <w:smallCaps/>
      <w:color w:val="262626" w:themeColor="text1" w:themeTint="D9"/>
      <w:sz w:val="24"/>
    </w:rPr>
  </w:style>
  <w:style w:type="paragraph" w:customStyle="1" w:styleId="01Fraccion">
    <w:name w:val="01_Fraccion"/>
    <w:basedOn w:val="Normal"/>
    <w:autoRedefine/>
    <w:qFormat/>
    <w:rsid w:val="001B1EE1"/>
    <w:pPr>
      <w:keepNext/>
      <w:keepLines/>
      <w:spacing w:before="480" w:after="120" w:line="280" w:lineRule="exact"/>
      <w:ind w:left="567" w:hanging="567"/>
      <w:jc w:val="both"/>
    </w:pPr>
    <w:rPr>
      <w:rFonts w:ascii="Adobe Caslon Pro Bold" w:hAnsi="Adobe Caslon Pro Bold"/>
      <w:b/>
      <w:caps/>
      <w:color w:val="A50021"/>
    </w:rPr>
  </w:style>
  <w:style w:type="paragraph" w:customStyle="1" w:styleId="03ST">
    <w:name w:val="03_ST"/>
    <w:basedOn w:val="Normal"/>
    <w:autoRedefine/>
    <w:qFormat/>
    <w:rsid w:val="00885894"/>
    <w:pPr>
      <w:keepNext/>
      <w:keepLines/>
      <w:spacing w:before="240" w:after="120" w:line="240" w:lineRule="exact"/>
      <w:jc w:val="both"/>
    </w:pPr>
    <w:rPr>
      <w:rFonts w:ascii="Adobe Caslon Pro Bold" w:hAnsi="Adobe Caslon Pro Bold"/>
      <w:b/>
      <w:color w:val="404040" w:themeColor="text1" w:themeTint="BF"/>
      <w:sz w:val="24"/>
    </w:rPr>
  </w:style>
  <w:style w:type="paragraph" w:customStyle="1" w:styleId="04TextoN">
    <w:name w:val="04_Texto N"/>
    <w:basedOn w:val="Normal"/>
    <w:autoRedefine/>
    <w:qFormat/>
    <w:rsid w:val="001B1EE1"/>
    <w:pPr>
      <w:spacing w:after="120" w:line="280" w:lineRule="exact"/>
      <w:jc w:val="both"/>
    </w:pPr>
    <w:rPr>
      <w:rFonts w:ascii="Adobe Caslon Pro" w:hAnsi="Adobe Caslon Pro" w:cs="Arial"/>
      <w:sz w:val="24"/>
    </w:rPr>
  </w:style>
  <w:style w:type="paragraph" w:customStyle="1" w:styleId="05Vieta01">
    <w:name w:val="05_Viñeta01"/>
    <w:basedOn w:val="Normal"/>
    <w:autoRedefine/>
    <w:qFormat/>
    <w:rsid w:val="00320119"/>
    <w:pPr>
      <w:numPr>
        <w:numId w:val="48"/>
      </w:numPr>
      <w:spacing w:after="120" w:line="280" w:lineRule="exact"/>
      <w:ind w:left="360"/>
      <w:jc w:val="both"/>
    </w:pPr>
    <w:rPr>
      <w:rFonts w:ascii="Adobe Caslon Pro" w:hAnsi="Adobe Caslon Pro"/>
      <w:sz w:val="24"/>
    </w:rPr>
  </w:style>
  <w:style w:type="paragraph" w:customStyle="1" w:styleId="05Vieta01Parr">
    <w:name w:val="05_Viñeta01_Parr"/>
    <w:basedOn w:val="Normal"/>
    <w:autoRedefine/>
    <w:qFormat/>
    <w:rsid w:val="001B1EE1"/>
    <w:pPr>
      <w:spacing w:after="120" w:line="280" w:lineRule="exact"/>
      <w:ind w:left="357"/>
      <w:jc w:val="both"/>
    </w:pPr>
    <w:rPr>
      <w:rFonts w:ascii="Adobe Caslon Pro" w:hAnsi="Adobe Caslon Pro"/>
      <w:sz w:val="24"/>
    </w:rPr>
  </w:style>
  <w:style w:type="paragraph" w:styleId="Prrafodelista">
    <w:name w:val="List Paragraph"/>
    <w:basedOn w:val="Normal"/>
    <w:uiPriority w:val="34"/>
    <w:rsid w:val="001B1EE1"/>
    <w:pPr>
      <w:ind w:left="720"/>
      <w:contextualSpacing/>
    </w:pPr>
  </w:style>
  <w:style w:type="paragraph" w:customStyle="1" w:styleId="06Vieta02Parr">
    <w:name w:val="06_Viñeta02_Parr"/>
    <w:basedOn w:val="Normal"/>
    <w:autoRedefine/>
    <w:qFormat/>
    <w:rsid w:val="001B1EE1"/>
    <w:pPr>
      <w:spacing w:after="120" w:line="280" w:lineRule="exact"/>
      <w:ind w:left="709"/>
      <w:jc w:val="both"/>
    </w:pPr>
    <w:rPr>
      <w:rFonts w:ascii="Adobe Caslon Pro" w:hAnsi="Adobe Caslon Pro"/>
      <w:sz w:val="24"/>
    </w:rPr>
  </w:style>
  <w:style w:type="paragraph" w:customStyle="1" w:styleId="07Vieta03">
    <w:name w:val="07_Viñeta03"/>
    <w:basedOn w:val="Normal"/>
    <w:autoRedefine/>
    <w:qFormat/>
    <w:rsid w:val="001B1EE1"/>
    <w:pPr>
      <w:numPr>
        <w:numId w:val="43"/>
      </w:numPr>
      <w:spacing w:after="120" w:line="280" w:lineRule="exact"/>
      <w:ind w:left="1134"/>
      <w:jc w:val="both"/>
    </w:pPr>
    <w:rPr>
      <w:rFonts w:ascii="Adobe Caslon Pro" w:hAnsi="Adobe Caslon Pro"/>
      <w:sz w:val="24"/>
    </w:rPr>
  </w:style>
  <w:style w:type="paragraph" w:customStyle="1" w:styleId="07Vieta03Parr">
    <w:name w:val="07_Viñeta03_Parr"/>
    <w:basedOn w:val="Normal"/>
    <w:autoRedefine/>
    <w:qFormat/>
    <w:rsid w:val="001B1EE1"/>
    <w:pPr>
      <w:spacing w:after="120" w:line="280" w:lineRule="exact"/>
      <w:ind w:left="1191"/>
      <w:jc w:val="both"/>
    </w:pPr>
    <w:rPr>
      <w:rFonts w:ascii="Adobe Caslon Pro" w:hAnsi="Adobe Caslon Pro"/>
      <w:sz w:val="24"/>
    </w:rPr>
  </w:style>
  <w:style w:type="paragraph" w:customStyle="1" w:styleId="08Titabla1errenglon">
    <w:name w:val="08_Titabla_1er renglon"/>
    <w:basedOn w:val="Normal"/>
    <w:autoRedefine/>
    <w:qFormat/>
    <w:rsid w:val="001B1EE1"/>
    <w:pPr>
      <w:keepNext/>
      <w:keepLines/>
      <w:spacing w:before="240" w:after="0" w:line="280" w:lineRule="exact"/>
      <w:jc w:val="center"/>
    </w:pPr>
    <w:rPr>
      <w:rFonts w:ascii="Trajan Pro" w:hAnsi="Trajan Pro"/>
      <w:b/>
      <w:color w:val="595959" w:themeColor="text1" w:themeTint="A6"/>
    </w:rPr>
  </w:style>
  <w:style w:type="paragraph" w:customStyle="1" w:styleId="08Titabla2dorenglon">
    <w:name w:val="08_Titabla_2do renglon"/>
    <w:basedOn w:val="Normal"/>
    <w:autoRedefine/>
    <w:qFormat/>
    <w:rsid w:val="001B1EE1"/>
    <w:pPr>
      <w:keepNext/>
      <w:keepLines/>
      <w:spacing w:after="0" w:line="260" w:lineRule="exact"/>
      <w:jc w:val="center"/>
    </w:pPr>
    <w:rPr>
      <w:rFonts w:ascii="Trajan Pro" w:hAnsi="Trajan Pro"/>
      <w:b/>
      <w:color w:val="595959" w:themeColor="text1" w:themeTint="A6"/>
    </w:rPr>
  </w:style>
  <w:style w:type="paragraph" w:customStyle="1" w:styleId="08Titabla3errenglon">
    <w:name w:val="08_Titabla_3er renglon"/>
    <w:basedOn w:val="Normal"/>
    <w:autoRedefine/>
    <w:qFormat/>
    <w:rsid w:val="001B1EE1"/>
    <w:pPr>
      <w:keepNext/>
      <w:keepLines/>
      <w:spacing w:after="240" w:line="260" w:lineRule="exact"/>
      <w:jc w:val="center"/>
    </w:pPr>
    <w:rPr>
      <w:rFonts w:ascii="Trajan Pro" w:hAnsi="Trajan Pro"/>
      <w:b/>
      <w:color w:val="595959" w:themeColor="text1" w:themeTint="A6"/>
    </w:rPr>
  </w:style>
  <w:style w:type="table" w:styleId="Tablaconcuadrcula">
    <w:name w:val="Table Grid"/>
    <w:basedOn w:val="Tablanormal"/>
    <w:uiPriority w:val="59"/>
    <w:rsid w:val="001B1EE1"/>
    <w:pPr>
      <w:spacing w:after="0" w:line="240" w:lineRule="auto"/>
    </w:pPr>
    <w:rPr>
      <w:rFonts w:eastAsiaTheme="minorHAnsi"/>
      <w:lang w:val="es-E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09Tablaencabezado">
    <w:name w:val="09_Tabla_encabezado"/>
    <w:basedOn w:val="Normal"/>
    <w:autoRedefine/>
    <w:qFormat/>
    <w:rsid w:val="001B1EE1"/>
    <w:pPr>
      <w:spacing w:before="40" w:after="40" w:line="240" w:lineRule="exact"/>
      <w:jc w:val="center"/>
    </w:pPr>
    <w:rPr>
      <w:rFonts w:ascii="Adobe Caslon Pro Bold" w:hAnsi="Adobe Caslon Pro Bold"/>
      <w:color w:val="FFFFFF" w:themeColor="background1"/>
      <w:sz w:val="18"/>
    </w:rPr>
  </w:style>
  <w:style w:type="paragraph" w:customStyle="1" w:styleId="09Tablatextoizq">
    <w:name w:val="09_Tabla_texto_izq"/>
    <w:basedOn w:val="Normal"/>
    <w:autoRedefine/>
    <w:qFormat/>
    <w:rsid w:val="001B1EE1"/>
    <w:pPr>
      <w:spacing w:before="40" w:after="40" w:line="240" w:lineRule="auto"/>
    </w:pPr>
    <w:rPr>
      <w:rFonts w:ascii="Adobe Caslon Pro" w:hAnsi="Adobe Caslon Pro"/>
      <w:sz w:val="18"/>
    </w:rPr>
  </w:style>
  <w:style w:type="paragraph" w:customStyle="1" w:styleId="09Tablatexjust">
    <w:name w:val="09_Tabla_tex_just"/>
    <w:basedOn w:val="Normal"/>
    <w:autoRedefine/>
    <w:qFormat/>
    <w:rsid w:val="001B1EE1"/>
    <w:pPr>
      <w:spacing w:before="40" w:after="40" w:line="240" w:lineRule="auto"/>
      <w:jc w:val="both"/>
    </w:pPr>
    <w:rPr>
      <w:rFonts w:ascii="Adobe Caslon Pro" w:hAnsi="Adobe Caslon Pro"/>
      <w:sz w:val="18"/>
    </w:rPr>
  </w:style>
  <w:style w:type="paragraph" w:customStyle="1" w:styleId="09Tablatextocentrado">
    <w:name w:val="09_Tabla_texto_centrado"/>
    <w:basedOn w:val="Normal"/>
    <w:autoRedefine/>
    <w:qFormat/>
    <w:rsid w:val="00D20B22"/>
    <w:pPr>
      <w:spacing w:before="40" w:after="40" w:line="240" w:lineRule="auto"/>
      <w:jc w:val="center"/>
    </w:pPr>
    <w:rPr>
      <w:rFonts w:ascii="Adobe Caslon Pro" w:hAnsi="Adobe Caslon Pro"/>
      <w:sz w:val="18"/>
    </w:rPr>
  </w:style>
  <w:style w:type="paragraph" w:customStyle="1" w:styleId="09Tablatextoderecha">
    <w:name w:val="09_Tabla_texto_derecha"/>
    <w:basedOn w:val="Normal"/>
    <w:autoRedefine/>
    <w:qFormat/>
    <w:rsid w:val="001B1EE1"/>
    <w:pPr>
      <w:spacing w:before="40" w:after="40" w:line="240" w:lineRule="auto"/>
      <w:jc w:val="right"/>
    </w:pPr>
    <w:rPr>
      <w:rFonts w:ascii="Adobe Caslon Pro" w:hAnsi="Adobe Caslon Pro"/>
      <w:sz w:val="18"/>
    </w:rPr>
  </w:style>
  <w:style w:type="paragraph" w:customStyle="1" w:styleId="09TablatextoFuente">
    <w:name w:val="09_Tabla_texto_Fuente"/>
    <w:basedOn w:val="Normal"/>
    <w:autoRedefine/>
    <w:qFormat/>
    <w:rsid w:val="001B1EE1"/>
    <w:pPr>
      <w:spacing w:after="0" w:line="240" w:lineRule="auto"/>
    </w:pPr>
    <w:rPr>
      <w:rFonts w:ascii="Adobe Caslon Pro" w:hAnsi="Adobe Caslon Pro"/>
      <w:sz w:val="18"/>
    </w:rPr>
  </w:style>
  <w:style w:type="paragraph" w:styleId="Textonotapie">
    <w:name w:val="footnote text"/>
    <w:basedOn w:val="Normal"/>
    <w:link w:val="TextonotapieCar"/>
    <w:uiPriority w:val="99"/>
    <w:semiHidden/>
    <w:unhideWhenUsed/>
    <w:rsid w:val="001B1EE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B1EE1"/>
    <w:rPr>
      <w:rFonts w:eastAsiaTheme="minorHAnsi"/>
      <w:sz w:val="20"/>
      <w:szCs w:val="20"/>
      <w:lang w:val="es-ES" w:eastAsia="en-US"/>
    </w:rPr>
  </w:style>
  <w:style w:type="character" w:styleId="Refdenotaalpie">
    <w:name w:val="footnote reference"/>
    <w:basedOn w:val="Fuentedeprrafopredeter"/>
    <w:uiPriority w:val="99"/>
    <w:semiHidden/>
    <w:unhideWhenUsed/>
    <w:rsid w:val="001B1EE1"/>
    <w:rPr>
      <w:vertAlign w:val="superscript"/>
    </w:rPr>
  </w:style>
  <w:style w:type="paragraph" w:customStyle="1" w:styleId="10Imagenescentradas">
    <w:name w:val="10_Imagenes_centradas"/>
    <w:basedOn w:val="Normal"/>
    <w:autoRedefine/>
    <w:qFormat/>
    <w:rsid w:val="001B1EE1"/>
    <w:pPr>
      <w:tabs>
        <w:tab w:val="right" w:leader="dot" w:pos="2727"/>
      </w:tabs>
      <w:spacing w:before="120" w:after="120" w:line="240" w:lineRule="auto"/>
      <w:jc w:val="center"/>
    </w:pPr>
    <w:rPr>
      <w:rFonts w:ascii="Adobe Caslon Pro" w:hAnsi="Adobe Caslon Pro" w:cs="Arial"/>
      <w:sz w:val="20"/>
    </w:rPr>
  </w:style>
  <w:style w:type="character" w:styleId="Hipervnculo">
    <w:name w:val="Hyperlink"/>
    <w:basedOn w:val="Fuentedeprrafopredeter"/>
    <w:uiPriority w:val="99"/>
    <w:qFormat/>
    <w:rsid w:val="001B1EE1"/>
    <w:rPr>
      <w:rFonts w:ascii="Adobe Caslon Pro" w:hAnsi="Adobe Caslon Pro"/>
      <w:color w:val="000000" w:themeColor="text1"/>
      <w:sz w:val="22"/>
      <w:u w:val="none"/>
    </w:rPr>
  </w:style>
  <w:style w:type="paragraph" w:customStyle="1" w:styleId="11IndiceOrganismo">
    <w:name w:val="11_Indice_Organismo"/>
    <w:basedOn w:val="Normal"/>
    <w:autoRedefine/>
    <w:qFormat/>
    <w:rsid w:val="001B1EE1"/>
    <w:pPr>
      <w:spacing w:before="60" w:after="0" w:line="240" w:lineRule="auto"/>
    </w:pPr>
    <w:rPr>
      <w:rFonts w:ascii="Adobe Caslon Pro Bold" w:hAnsi="Adobe Caslon Pro Bold"/>
      <w:b/>
      <w:shadow/>
      <w:color w:val="A50021"/>
      <w:sz w:val="24"/>
    </w:rPr>
  </w:style>
  <w:style w:type="paragraph" w:customStyle="1" w:styleId="11Indicenombreorganismo">
    <w:name w:val="11_Indice_nombre_organismo"/>
    <w:basedOn w:val="Normal"/>
    <w:autoRedefine/>
    <w:qFormat/>
    <w:rsid w:val="001B1EE1"/>
    <w:pPr>
      <w:spacing w:before="80" w:after="20" w:line="240" w:lineRule="auto"/>
      <w:ind w:left="170"/>
    </w:pPr>
    <w:rPr>
      <w:rFonts w:ascii="Adobe Caslon Pro" w:hAnsi="Adobe Caslon Pro"/>
      <w:color w:val="595959" w:themeColor="text1" w:themeTint="A6"/>
      <w:sz w:val="24"/>
    </w:rPr>
  </w:style>
  <w:style w:type="paragraph" w:customStyle="1" w:styleId="11Indicevietas">
    <w:name w:val="11_Indice_viñetas"/>
    <w:basedOn w:val="Normal"/>
    <w:autoRedefine/>
    <w:qFormat/>
    <w:rsid w:val="001B1EE1"/>
    <w:pPr>
      <w:numPr>
        <w:numId w:val="33"/>
      </w:numPr>
      <w:tabs>
        <w:tab w:val="right" w:pos="8505"/>
      </w:tabs>
      <w:spacing w:after="20" w:line="240" w:lineRule="auto"/>
      <w:ind w:left="717"/>
    </w:pPr>
    <w:rPr>
      <w:rFonts w:ascii="Adobe Caslon Pro" w:hAnsi="Adobe Caslon Pro"/>
      <w:color w:val="595959" w:themeColor="text1" w:themeTint="A6"/>
      <w:sz w:val="24"/>
    </w:rPr>
  </w:style>
  <w:style w:type="paragraph" w:customStyle="1" w:styleId="12Enterpleca">
    <w:name w:val="12_Enter_pleca"/>
    <w:basedOn w:val="Normal"/>
    <w:autoRedefine/>
    <w:qFormat/>
    <w:rsid w:val="001B1EE1"/>
    <w:pPr>
      <w:spacing w:after="240" w:line="360" w:lineRule="auto"/>
      <w:jc w:val="center"/>
    </w:pPr>
    <w:rPr>
      <w:rFonts w:ascii="Adobe Caslon Pro" w:hAnsi="Adobe Caslon Pro"/>
      <w:color w:val="404040" w:themeColor="text1" w:themeTint="BF"/>
    </w:rPr>
  </w:style>
  <w:style w:type="paragraph" w:styleId="Encabezado">
    <w:name w:val="header"/>
    <w:basedOn w:val="Normal"/>
    <w:link w:val="EncabezadoCar"/>
    <w:uiPriority w:val="99"/>
    <w:unhideWhenUsed/>
    <w:rsid w:val="001B1EE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1EE1"/>
    <w:rPr>
      <w:rFonts w:eastAsiaTheme="minorHAnsi"/>
      <w:lang w:val="es-ES" w:eastAsia="en-US"/>
    </w:rPr>
  </w:style>
  <w:style w:type="paragraph" w:styleId="Piedepgina">
    <w:name w:val="footer"/>
    <w:basedOn w:val="Normal"/>
    <w:link w:val="PiedepginaCar"/>
    <w:uiPriority w:val="99"/>
    <w:unhideWhenUsed/>
    <w:rsid w:val="001B1E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1EE1"/>
    <w:rPr>
      <w:rFonts w:eastAsiaTheme="minorHAnsi"/>
      <w:lang w:val="es-ES" w:eastAsia="en-US"/>
    </w:rPr>
  </w:style>
  <w:style w:type="character" w:styleId="Hipervnculovisitado">
    <w:name w:val="FollowedHyperlink"/>
    <w:basedOn w:val="Fuentedeprrafopredeter"/>
    <w:uiPriority w:val="99"/>
    <w:semiHidden/>
    <w:unhideWhenUsed/>
    <w:qFormat/>
    <w:rsid w:val="001B1EE1"/>
    <w:rPr>
      <w:rFonts w:ascii="Adobe Caslon Pro" w:hAnsi="Adobe Caslon Pro"/>
      <w:color w:val="595959" w:themeColor="text1" w:themeTint="A6"/>
      <w:sz w:val="20"/>
      <w:u w:val="none"/>
    </w:rPr>
  </w:style>
  <w:style w:type="paragraph" w:customStyle="1" w:styleId="06Vieta02">
    <w:name w:val="06_ Viñeta02"/>
    <w:basedOn w:val="Normal"/>
    <w:next w:val="Normal"/>
    <w:autoRedefine/>
    <w:qFormat/>
    <w:rsid w:val="001B1EE1"/>
    <w:pPr>
      <w:numPr>
        <w:numId w:val="34"/>
      </w:numPr>
      <w:spacing w:after="120" w:line="280" w:lineRule="exact"/>
      <w:jc w:val="both"/>
    </w:pPr>
    <w:rPr>
      <w:rFonts w:ascii="Adobe Caslon Pro" w:hAnsi="Adobe Caslon Pro"/>
      <w:sz w:val="24"/>
    </w:rPr>
  </w:style>
  <w:style w:type="table" w:customStyle="1" w:styleId="EstiloTrim">
    <w:name w:val="Estilo_Trim"/>
    <w:basedOn w:val="Tablanormal"/>
    <w:uiPriority w:val="99"/>
    <w:rsid w:val="001B1EE1"/>
    <w:pPr>
      <w:spacing w:after="0" w:line="240" w:lineRule="auto"/>
      <w:jc w:val="center"/>
    </w:pPr>
    <w:rPr>
      <w:rFonts w:ascii="Adobe Caslon Pro" w:eastAsiaTheme="minorHAnsi" w:hAnsi="Adobe Caslon Pro"/>
      <w:sz w:val="18"/>
      <w:lang w:val="es-ES" w:eastAsia="en-US"/>
    </w:rPr>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cPr>
      <w:vAlign w:val="center"/>
    </w:tcPr>
    <w:tblStylePr w:type="firstRow">
      <w:pPr>
        <w:jc w:val="center"/>
      </w:pPr>
      <w:rPr>
        <w:rFonts w:ascii="Adobe Caslon Pro" w:hAnsi="Adobe Caslon Pro"/>
        <w:b w:val="0"/>
        <w:color w:val="FFFFFF" w:themeColor="background1"/>
        <w:sz w:val="18"/>
      </w:rPr>
      <w:tblPr/>
      <w:tcPr>
        <w:shd w:val="clear" w:color="auto" w:fill="595959" w:themeFill="text1" w:themeFillTint="A6"/>
      </w:tcPr>
    </w:tblStylePr>
  </w:style>
  <w:style w:type="paragraph" w:customStyle="1" w:styleId="13Encabimpar">
    <w:name w:val="13_Encab_impar"/>
    <w:basedOn w:val="Encabezado"/>
    <w:autoRedefine/>
    <w:qFormat/>
    <w:rsid w:val="001B1EE1"/>
    <w:pPr>
      <w:spacing w:before="240"/>
      <w:ind w:left="170"/>
      <w:jc w:val="right"/>
    </w:pPr>
    <w:rPr>
      <w:rFonts w:ascii="Adobe Caslon Pro Bold" w:hAnsi="Adobe Caslon Pro Bold"/>
      <w:shadow/>
      <w:color w:val="595959" w:themeColor="text1" w:themeTint="A6"/>
      <w:szCs w:val="28"/>
      <w:lang w:val="es-MX"/>
    </w:rPr>
  </w:style>
  <w:style w:type="paragraph" w:customStyle="1" w:styleId="14Encabpar">
    <w:name w:val="14_Encab_par"/>
    <w:basedOn w:val="Encabezado"/>
    <w:autoRedefine/>
    <w:qFormat/>
    <w:rsid w:val="001B1EE1"/>
    <w:pPr>
      <w:spacing w:before="240"/>
    </w:pPr>
    <w:rPr>
      <w:rFonts w:ascii="Adobe Caslon Pro Bold" w:hAnsi="Adobe Caslon Pro Bold"/>
      <w:shadow/>
      <w:color w:val="666666"/>
      <w:szCs w:val="24"/>
      <w:lang w:val="es-MX"/>
    </w:rPr>
  </w:style>
  <w:style w:type="paragraph" w:styleId="Textodeglobo">
    <w:name w:val="Balloon Text"/>
    <w:basedOn w:val="Normal"/>
    <w:link w:val="TextodegloboCar"/>
    <w:uiPriority w:val="99"/>
    <w:semiHidden/>
    <w:unhideWhenUsed/>
    <w:rsid w:val="001B1E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EE1"/>
    <w:rPr>
      <w:rFonts w:ascii="Tahoma" w:eastAsiaTheme="minorHAnsi" w:hAnsi="Tahoma" w:cs="Tahoma"/>
      <w:sz w:val="16"/>
      <w:szCs w:val="16"/>
      <w:lang w:val="es-ES" w:eastAsia="en-US"/>
    </w:rPr>
  </w:style>
  <w:style w:type="paragraph" w:customStyle="1" w:styleId="11AIntrotexto">
    <w:name w:val="11_A_Introtexto"/>
    <w:basedOn w:val="04TextoN"/>
    <w:autoRedefine/>
    <w:qFormat/>
    <w:rsid w:val="001B1EE1"/>
    <w:pPr>
      <w:spacing w:after="240" w:line="520" w:lineRule="exact"/>
    </w:pPr>
    <w:rPr>
      <w:rFonts w:ascii="Adobe Caslon Pro Bold" w:hAnsi="Adobe Caslon Pro Bold"/>
      <w:color w:val="2D2D2D"/>
      <w:sz w:val="32"/>
      <w:lang w:val="es-MX"/>
    </w:rPr>
  </w:style>
  <w:style w:type="paragraph" w:customStyle="1" w:styleId="11BVietas">
    <w:name w:val="11_B_Viñetas"/>
    <w:basedOn w:val="11AIntrotexto"/>
    <w:autoRedefine/>
    <w:qFormat/>
    <w:rsid w:val="001B1EE1"/>
    <w:pPr>
      <w:numPr>
        <w:numId w:val="35"/>
      </w:numPr>
    </w:pPr>
  </w:style>
  <w:style w:type="paragraph" w:customStyle="1" w:styleId="15paraindice">
    <w:name w:val="15_paraindice"/>
    <w:basedOn w:val="Normal"/>
    <w:autoRedefine/>
    <w:qFormat/>
    <w:rsid w:val="001B1EE1"/>
    <w:pPr>
      <w:spacing w:after="0" w:line="240" w:lineRule="auto"/>
      <w:ind w:right="284"/>
      <w:jc w:val="right"/>
    </w:pPr>
    <w:rPr>
      <w:rFonts w:ascii="Adobe Caslon Pro" w:hAnsi="Adobe Caslon Pro"/>
      <w:shadow/>
      <w:color w:val="FFFFFF" w:themeColor="background1"/>
      <w:sz w:val="76"/>
    </w:rPr>
  </w:style>
  <w:style w:type="paragraph" w:customStyle="1" w:styleId="00BIndice">
    <w:name w:val="00B_Indice"/>
    <w:basedOn w:val="Normal"/>
    <w:autoRedefine/>
    <w:qFormat/>
    <w:rsid w:val="001B1EE1"/>
    <w:pPr>
      <w:keepNext/>
      <w:keepLines/>
      <w:spacing w:before="480" w:after="0" w:line="240" w:lineRule="auto"/>
      <w:jc w:val="center"/>
    </w:pPr>
    <w:rPr>
      <w:rFonts w:ascii="Trajan Pro" w:hAnsi="Trajan Pro"/>
      <w:b/>
      <w:caps/>
      <w:shadow/>
      <w:color w:val="A50021"/>
      <w:sz w:val="52"/>
      <w:szCs w:val="36"/>
    </w:rPr>
  </w:style>
  <w:style w:type="paragraph" w:styleId="TDC1">
    <w:name w:val="toc 1"/>
    <w:aliases w:val="000_TDC_indice"/>
    <w:basedOn w:val="Normal"/>
    <w:next w:val="Normal"/>
    <w:autoRedefine/>
    <w:uiPriority w:val="39"/>
    <w:unhideWhenUsed/>
    <w:qFormat/>
    <w:rsid w:val="001B1EE1"/>
    <w:pPr>
      <w:tabs>
        <w:tab w:val="right" w:leader="dot" w:pos="9962"/>
      </w:tabs>
      <w:spacing w:before="60" w:after="60" w:line="240" w:lineRule="auto"/>
    </w:pPr>
    <w:rPr>
      <w:rFonts w:ascii="Adobe Caslon Pro" w:hAnsi="Adobe Caslon Pro"/>
      <w:bCs/>
      <w:noProof/>
      <w:sz w:val="20"/>
      <w:szCs w:val="20"/>
    </w:rPr>
  </w:style>
  <w:style w:type="paragraph" w:customStyle="1" w:styleId="03bSubprogra">
    <w:name w:val="03_b_Sub_progra"/>
    <w:basedOn w:val="02T1"/>
    <w:autoRedefine/>
    <w:qFormat/>
    <w:rsid w:val="001B1EE1"/>
    <w:rPr>
      <w:rFonts w:ascii="Adobe Caslon Pro" w:hAnsi="Adobe Caslon Pro"/>
      <w:shadow/>
      <w:color w:val="595959" w:themeColor="text1" w:themeTint="A6"/>
      <w:sz w:val="20"/>
    </w:rPr>
  </w:style>
  <w:style w:type="paragraph" w:customStyle="1" w:styleId="09TablaTotal">
    <w:name w:val="09_Tabla_Total"/>
    <w:basedOn w:val="09Tablaencabezado"/>
    <w:autoRedefine/>
    <w:qFormat/>
    <w:rsid w:val="001B1EE1"/>
    <w:rPr>
      <w:color w:val="auto"/>
    </w:rPr>
  </w:style>
  <w:style w:type="table" w:customStyle="1" w:styleId="Tablarosa">
    <w:name w:val="Tabla_rosa"/>
    <w:basedOn w:val="Tablanormal"/>
    <w:uiPriority w:val="99"/>
    <w:qFormat/>
    <w:rsid w:val="00733204"/>
    <w:pPr>
      <w:spacing w:before="60" w:after="60" w:line="240" w:lineRule="auto"/>
    </w:pPr>
    <w:rPr>
      <w:rFonts w:ascii="Adobe Caslon Pro" w:hAnsi="Adobe Caslon Pro"/>
      <w:sz w:val="20"/>
    </w:rPr>
    <w:tblPr>
      <w:tblStyleRowBandSize w:val="1"/>
      <w:tblInd w:w="0" w:type="dxa"/>
      <w:tblBorders>
        <w:insideH w:val="single" w:sz="12" w:space="0" w:color="FFFFFF" w:themeColor="background1"/>
        <w:insideV w:val="single" w:sz="12" w:space="0" w:color="FFFFFF" w:themeColor="background1"/>
      </w:tblBorders>
      <w:tblCellMar>
        <w:top w:w="0" w:type="dxa"/>
        <w:left w:w="108" w:type="dxa"/>
        <w:bottom w:w="0" w:type="dxa"/>
        <w:right w:w="108" w:type="dxa"/>
      </w:tblCellMar>
    </w:tblPr>
    <w:tcPr>
      <w:shd w:val="clear" w:color="auto" w:fill="F2F2F2" w:themeFill="background1" w:themeFillShade="F2"/>
    </w:tcPr>
    <w:tblStylePr w:type="firstRow">
      <w:pPr>
        <w:wordWrap/>
        <w:spacing w:beforeLines="0" w:beforeAutospacing="0" w:afterLines="0" w:afterAutospacing="0" w:line="240" w:lineRule="auto"/>
        <w:jc w:val="center"/>
      </w:pPr>
      <w:rPr>
        <w:rFonts w:ascii="Adobe Caslon Pro" w:hAnsi="Adobe Caslon Pro"/>
        <w:b/>
        <w:i w:val="0"/>
        <w:color w:val="FFFFFF" w:themeColor="background1"/>
        <w:sz w:val="20"/>
        <w14:shadow w14:blurRad="0" w14:dist="0" w14:dir="0" w14:sx="0" w14:sy="0" w14:kx="0" w14:ky="0" w14:algn="none">
          <w14:srgbClr w14:val="000000"/>
        </w14:shadow>
        <w14:textOutline w14:w="0" w14:cap="rnd" w14:cmpd="sng" w14:algn="ctr">
          <w14:noFill/>
          <w14:prstDash w14:val="solid"/>
          <w14:bevel/>
        </w14:textOutline>
      </w:rPr>
      <w:tblPr/>
      <w:tcPr>
        <w:shd w:val="clear" w:color="auto" w:fill="808080" w:themeFill="background1" w:themeFillShade="80"/>
      </w:tcPr>
    </w:tblStylePr>
    <w:tblStylePr w:type="lastRow">
      <w:pPr>
        <w:wordWrap/>
        <w:jc w:val="center"/>
      </w:pPr>
      <w:rPr>
        <w:rFonts w:ascii="Adobe Caslon Pro" w:hAnsi="Adobe Caslon Pro"/>
        <w:b/>
        <w:i w:val="0"/>
        <w:color w:val="F2F2F2" w:themeColor="background1" w:themeShade="F2"/>
        <w:sz w:val="20"/>
        <w14:shadow w14:blurRad="0" w14:dist="0" w14:dir="0" w14:sx="0" w14:sy="0" w14:kx="0" w14:ky="0" w14:algn="none">
          <w14:srgbClr w14:val="000000"/>
        </w14:shadow>
        <w14:textOutline w14:w="0" w14:cap="rnd" w14:cmpd="sng" w14:algn="ctr">
          <w14:noFill/>
          <w14:prstDash w14:val="solid"/>
          <w14:bevel/>
        </w14:textOutline>
      </w:rPr>
      <w:tblPr/>
      <w:tcPr>
        <w:shd w:val="clear" w:color="auto" w:fill="808080" w:themeFill="background1" w:themeFillShade="80"/>
      </w:tcPr>
    </w:tblStylePr>
    <w:tblStylePr w:type="band1Horz">
      <w:rPr>
        <w:rFonts w:ascii="Arial" w:hAnsi="Arial"/>
        <w:sz w:val="20"/>
      </w:rPr>
      <w:tblPr/>
      <w:tcPr>
        <w:shd w:val="clear" w:color="auto" w:fill="FFFFFF" w:themeFill="background1"/>
      </w:tcPr>
    </w:tblStylePr>
    <w:tblStylePr w:type="band2Horz">
      <w:rPr>
        <w:rFonts w:ascii="Arial" w:hAnsi="Arial"/>
        <w:sz w:val="20"/>
      </w:rPr>
      <w:tblPr/>
      <w:tcPr>
        <w:shd w:val="clear" w:color="auto" w:fill="D9D9D9" w:themeFill="background1" w:themeFillShade="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4.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Hoja_de_c_lculo_de_Microsoft_Excel1.xlsx"/></Relationships>
</file>

<file path=word/_rels/header1.xml.rels><?xml version="1.0" encoding="UTF-8" standalone="yes"?>
<Relationships xmlns="http://schemas.openxmlformats.org/package/2006/relationships"><Relationship Id="rId1" Type="http://schemas.openxmlformats.org/officeDocument/2006/relationships/image" Target="media/image25.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jpeg"/><Relationship Id="rId18" Type="http://schemas.openxmlformats.org/officeDocument/2006/relationships/image" Target="media/image18.jpeg"/><Relationship Id="rId3" Type="http://schemas.openxmlformats.org/officeDocument/2006/relationships/image" Target="media/image3.png"/><Relationship Id="rId21" Type="http://schemas.openxmlformats.org/officeDocument/2006/relationships/image" Target="media/image21.jpeg"/><Relationship Id="rId7" Type="http://schemas.openxmlformats.org/officeDocument/2006/relationships/image" Target="media/image7.png"/><Relationship Id="rId12" Type="http://schemas.openxmlformats.org/officeDocument/2006/relationships/image" Target="media/image12.jpeg"/><Relationship Id="rId17" Type="http://schemas.openxmlformats.org/officeDocument/2006/relationships/image" Target="media/image17.jpeg"/><Relationship Id="rId2" Type="http://schemas.openxmlformats.org/officeDocument/2006/relationships/image" Target="media/image2.png"/><Relationship Id="rId16" Type="http://schemas.openxmlformats.org/officeDocument/2006/relationships/image" Target="media/image16.jpeg"/><Relationship Id="rId20" Type="http://schemas.openxmlformats.org/officeDocument/2006/relationships/image" Target="media/image20.jpe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jpeg"/><Relationship Id="rId5" Type="http://schemas.openxmlformats.org/officeDocument/2006/relationships/image" Target="media/image5.png"/><Relationship Id="rId15" Type="http://schemas.openxmlformats.org/officeDocument/2006/relationships/image" Target="media/image15.jpeg"/><Relationship Id="rId23" Type="http://schemas.openxmlformats.org/officeDocument/2006/relationships/image" Target="media/image23.png"/><Relationship Id="rId10" Type="http://schemas.openxmlformats.org/officeDocument/2006/relationships/image" Target="media/image10.png"/><Relationship Id="rId19" Type="http://schemas.openxmlformats.org/officeDocument/2006/relationships/image" Target="media/image19.jpe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jpeg"/><Relationship Id="rId22" Type="http://schemas.openxmlformats.org/officeDocument/2006/relationships/image" Target="media/image2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aElenaCervantes_Respaldo\00_2013\01_TIT_2013\00_Preparativos\Plantilla%20Trimestrales_201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D5240-D81D-4A59-BC86-AED469E7E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Trimestrales_2013</Template>
  <TotalTime>27</TotalTime>
  <Pages>13</Pages>
  <Words>4649</Words>
  <Characters>25571</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SEDESOL</Company>
  <LinksUpToDate>false</LinksUpToDate>
  <CharactersWithSpaces>30160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Elena Cervantes Saavedra</dc:creator>
  <cp:lastModifiedBy>KARLA DE LA GARZA CHAPA</cp:lastModifiedBy>
  <cp:revision>9</cp:revision>
  <cp:lastPrinted>2012-03-14T21:23:00Z</cp:lastPrinted>
  <dcterms:created xsi:type="dcterms:W3CDTF">2013-04-16T17:31:00Z</dcterms:created>
  <dcterms:modified xsi:type="dcterms:W3CDTF">2014-03-28T21:57:00Z</dcterms:modified>
</cp:coreProperties>
</file>